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6B6B" w14:textId="350634C3" w:rsidR="005079E1" w:rsidRDefault="005079E1" w:rsidP="005079E1">
      <w:pPr>
        <w:jc w:val="center"/>
        <w:rPr>
          <w:b/>
        </w:rPr>
      </w:pPr>
    </w:p>
    <w:p w14:paraId="4063BFFD" w14:textId="77777777" w:rsidR="005079E1" w:rsidRDefault="005079E1" w:rsidP="005079E1">
      <w:pPr>
        <w:jc w:val="center"/>
        <w:rPr>
          <w:b/>
        </w:rPr>
      </w:pPr>
    </w:p>
    <w:p w14:paraId="4DC917C3" w14:textId="058BA879" w:rsidR="005079E1" w:rsidRDefault="005079E1" w:rsidP="005079E1">
      <w:pPr>
        <w:jc w:val="center"/>
        <w:rPr>
          <w:b/>
        </w:rPr>
      </w:pPr>
      <w:r>
        <w:rPr>
          <w:b/>
        </w:rPr>
        <w:t xml:space="preserve">IN ROMAGNA LA STORIA DIVENTA PRODOTTO TURISTICO </w:t>
      </w:r>
      <w:r>
        <w:rPr>
          <w:b/>
        </w:rPr>
        <w:br/>
        <w:t xml:space="preserve">TRA ITINERARI ED EVENTI GRAZIE A </w:t>
      </w:r>
      <w:bookmarkStart w:id="0" w:name="_GoBack"/>
      <w:bookmarkEnd w:id="0"/>
    </w:p>
    <w:p w14:paraId="4A22F4E1" w14:textId="77777777" w:rsidR="005079E1" w:rsidRDefault="005079E1" w:rsidP="005079E1">
      <w:pPr>
        <w:jc w:val="center"/>
        <w:rPr>
          <w:b/>
        </w:rPr>
      </w:pPr>
    </w:p>
    <w:p w14:paraId="3A1945FD" w14:textId="769EC41D" w:rsidR="005079E1" w:rsidRDefault="005079E1" w:rsidP="005079E1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3D67822" wp14:editId="15CB83E6">
            <wp:extent cx="1654493" cy="96878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493" cy="968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A17F4A" w14:textId="77777777" w:rsidR="005079E1" w:rsidRDefault="005079E1" w:rsidP="005079E1">
      <w:pPr>
        <w:jc w:val="both"/>
        <w:rPr>
          <w:b/>
        </w:rPr>
      </w:pPr>
    </w:p>
    <w:p w14:paraId="6C9CFF7D" w14:textId="77777777" w:rsidR="005079E1" w:rsidRDefault="005079E1" w:rsidP="005079E1">
      <w:pPr>
        <w:jc w:val="both"/>
      </w:pPr>
      <w:r>
        <w:rPr>
          <w:i/>
        </w:rPr>
        <w:t xml:space="preserve">Paestum, 15 novembre </w:t>
      </w:r>
      <w:r>
        <w:t xml:space="preserve">- Gli </w:t>
      </w:r>
      <w:r>
        <w:rPr>
          <w:b/>
        </w:rPr>
        <w:t xml:space="preserve">itinerari </w:t>
      </w:r>
      <w:r>
        <w:t xml:space="preserve">alla scoperta delle tracce e dei segni della Storia in tutta la Romagna, i </w:t>
      </w:r>
      <w:r>
        <w:rPr>
          <w:b/>
        </w:rPr>
        <w:t>grandi eventi</w:t>
      </w:r>
      <w:r>
        <w:t xml:space="preserve"> dedicati al turismo storico del 2020, il </w:t>
      </w:r>
      <w:r>
        <w:rPr>
          <w:b/>
        </w:rPr>
        <w:t xml:space="preserve">progetto europeo </w:t>
      </w:r>
      <w:proofErr w:type="spellStart"/>
      <w:r>
        <w:rPr>
          <w:b/>
        </w:rPr>
        <w:t>Hercultour</w:t>
      </w:r>
      <w:proofErr w:type="spellEnd"/>
      <w:r>
        <w:t xml:space="preserve"> che ha dato nuove risorse ai </w:t>
      </w:r>
      <w:r>
        <w:rPr>
          <w:b/>
        </w:rPr>
        <w:t>Visitor Center</w:t>
      </w:r>
      <w:r>
        <w:t xml:space="preserve"> e ha introdotto il nuovo paradigma dell'interpretazione del patrimonio archeologico: in </w:t>
      </w:r>
      <w:r>
        <w:rPr>
          <w:b/>
        </w:rPr>
        <w:t xml:space="preserve">Romagna </w:t>
      </w:r>
      <w:r>
        <w:t xml:space="preserve">la storia antica sta diventando sempre più un prodotto turistico, che risponde al nome di </w:t>
      </w:r>
      <w:r>
        <w:rPr>
          <w:b/>
        </w:rPr>
        <w:t>Romagna Empire</w:t>
      </w:r>
      <w:r>
        <w:t xml:space="preserve">. </w:t>
      </w:r>
    </w:p>
    <w:p w14:paraId="5E0254CC" w14:textId="77777777" w:rsidR="005079E1" w:rsidRDefault="005079E1" w:rsidP="005079E1">
      <w:pPr>
        <w:jc w:val="both"/>
      </w:pPr>
      <w:r>
        <w:t>Per far conoscere al meglio questa nuova ‘</w:t>
      </w:r>
      <w:proofErr w:type="spellStart"/>
      <w:r>
        <w:t>experience</w:t>
      </w:r>
      <w:proofErr w:type="spellEnd"/>
      <w:r>
        <w:t xml:space="preserve">’ da vivere sul territorio, </w:t>
      </w:r>
      <w:proofErr w:type="spellStart"/>
      <w:r>
        <w:rPr>
          <w:b/>
        </w:rPr>
        <w:t>Visit</w:t>
      </w:r>
      <w:proofErr w:type="spellEnd"/>
      <w:r>
        <w:rPr>
          <w:b/>
        </w:rPr>
        <w:t xml:space="preserve"> Romagna</w:t>
      </w:r>
      <w:r>
        <w:t>- l’ente pubblico che unisce la promozione turistica delle province di Ferrara, Forlì-Cesena, Ravenna e Rimini-</w:t>
      </w:r>
      <w:r>
        <w:rPr>
          <w:b/>
        </w:rPr>
        <w:t xml:space="preserve"> </w:t>
      </w:r>
      <w:r>
        <w:t xml:space="preserve">partecipa con un proprio stand fino a domenica 17 novembre alla ventiduesima edizione della </w:t>
      </w:r>
      <w:r>
        <w:rPr>
          <w:b/>
        </w:rPr>
        <w:t>Borsa Mediterranea del Turismo Archeologico</w:t>
      </w:r>
      <w:r>
        <w:t xml:space="preserve">, in programma a Paestum in provincia di Salerno: il progetto Romagna Empire questa mattina è stato protagonista del ciclo </w:t>
      </w:r>
      <w:proofErr w:type="spellStart"/>
      <w:r>
        <w:t>ArcheoIncontri</w:t>
      </w:r>
      <w:proofErr w:type="spellEnd"/>
      <w:r>
        <w:t xml:space="preserve">, promosso da BMTA stessa, con la conferenza  </w:t>
      </w:r>
      <w:r>
        <w:rPr>
          <w:b/>
        </w:rPr>
        <w:t>“Romagna Empire. Il piacere del viaggio sulle tracce della storia”</w:t>
      </w:r>
      <w:r>
        <w:t xml:space="preserve">, durante la quale sono intervenuti la </w:t>
      </w:r>
      <w:r>
        <w:rPr>
          <w:b/>
        </w:rPr>
        <w:t xml:space="preserve">direttrice di </w:t>
      </w:r>
      <w:proofErr w:type="spellStart"/>
      <w:r>
        <w:rPr>
          <w:b/>
        </w:rPr>
        <w:t>Visit</w:t>
      </w:r>
      <w:proofErr w:type="spellEnd"/>
      <w:r>
        <w:rPr>
          <w:b/>
        </w:rPr>
        <w:t xml:space="preserve"> Romagna Chiara </w:t>
      </w:r>
      <w:proofErr w:type="spellStart"/>
      <w:r>
        <w:rPr>
          <w:b/>
        </w:rPr>
        <w:t>Astolfi</w:t>
      </w:r>
      <w:proofErr w:type="spellEnd"/>
      <w:r>
        <w:rPr>
          <w:b/>
        </w:rPr>
        <w:t xml:space="preserve">, </w:t>
      </w:r>
      <w:r>
        <w:t xml:space="preserve">il </w:t>
      </w:r>
      <w:r>
        <w:rPr>
          <w:b/>
        </w:rPr>
        <w:t xml:space="preserve">direttore di </w:t>
      </w:r>
      <w:proofErr w:type="spellStart"/>
      <w:r>
        <w:rPr>
          <w:b/>
        </w:rPr>
        <w:t>Ravennantica</w:t>
      </w:r>
      <w:proofErr w:type="spellEnd"/>
      <w:r>
        <w:rPr>
          <w:b/>
        </w:rPr>
        <w:t xml:space="preserve"> Sergio Fioravanti </w:t>
      </w:r>
      <w:r>
        <w:t>e</w:t>
      </w:r>
      <w:r>
        <w:rPr>
          <w:b/>
        </w:rPr>
        <w:t xml:space="preserve"> l’Assessore al Turismo del Comune di Comacchio Riccardo </w:t>
      </w:r>
      <w:proofErr w:type="spellStart"/>
      <w:r>
        <w:rPr>
          <w:b/>
        </w:rPr>
        <w:t>Pattuelli</w:t>
      </w:r>
      <w:proofErr w:type="spellEnd"/>
      <w:r>
        <w:t>.</w:t>
      </w:r>
    </w:p>
    <w:p w14:paraId="1A7BEFA7" w14:textId="77777777" w:rsidR="005079E1" w:rsidRDefault="005079E1" w:rsidP="005079E1">
      <w:pPr>
        <w:jc w:val="both"/>
      </w:pPr>
    </w:p>
    <w:p w14:paraId="1FA58F78" w14:textId="77777777" w:rsidR="005079E1" w:rsidRDefault="005079E1" w:rsidP="005079E1">
      <w:pPr>
        <w:jc w:val="both"/>
      </w:pPr>
      <w:r>
        <w:t>Al centro della presentazione, la</w:t>
      </w:r>
      <w:r>
        <w:rPr>
          <w:b/>
        </w:rPr>
        <w:t xml:space="preserve"> proposta commerciale </w:t>
      </w:r>
      <w:r>
        <w:t>degli operatori del territorio: il cuore dell’offerta sono i</w:t>
      </w:r>
      <w:r>
        <w:rPr>
          <w:b/>
        </w:rPr>
        <w:t xml:space="preserve"> pacchetti impostati sulle 48 e 72 ore di permanenza</w:t>
      </w:r>
      <w:r>
        <w:t xml:space="preserve">, dedicati ai gruppi organizzati e alle scuole, che permettono di esplorare la Romagna seguendo i grandi itinerari della storia. </w:t>
      </w:r>
    </w:p>
    <w:p w14:paraId="2D7DB21B" w14:textId="77777777" w:rsidR="005079E1" w:rsidRDefault="005079E1" w:rsidP="005079E1">
      <w:pPr>
        <w:jc w:val="both"/>
      </w:pPr>
      <w:r>
        <w:t xml:space="preserve">Solo in Romagna si può ripercorrere idealmente la parabola dell’Impero Romano tra </w:t>
      </w:r>
      <w:r>
        <w:rPr>
          <w:b/>
        </w:rPr>
        <w:t xml:space="preserve">Rimini </w:t>
      </w:r>
      <w:r>
        <w:t xml:space="preserve">e </w:t>
      </w:r>
      <w:r>
        <w:rPr>
          <w:b/>
        </w:rPr>
        <w:t>Savignano sul Rubicone</w:t>
      </w:r>
      <w:r>
        <w:t xml:space="preserve">, visitando il ponte sacro confine attraversato da Cesare e la piazza dove pronunciò ai suoi legionari lo storico incitamento “Il Dado è tratto”, e </w:t>
      </w:r>
      <w:r>
        <w:rPr>
          <w:b/>
        </w:rPr>
        <w:t>Ravenna</w:t>
      </w:r>
      <w:r>
        <w:t xml:space="preserve">, città tre volte capitale, sia dell’Impero d’Occidente prima della caduta, poi del Regno degli Ostrogoti e infine dell’Esarcato Bizantino. </w:t>
      </w:r>
    </w:p>
    <w:p w14:paraId="4A268289" w14:textId="77777777" w:rsidR="005079E1" w:rsidRDefault="005079E1" w:rsidP="005079E1">
      <w:pPr>
        <w:jc w:val="both"/>
      </w:pPr>
      <w:r>
        <w:t xml:space="preserve">Sempre in Romagna si può riscoprire la storia dell’Adriatico tra Ravenna, l’antico </w:t>
      </w:r>
      <w:r>
        <w:rPr>
          <w:b/>
        </w:rPr>
        <w:t xml:space="preserve">Porto di Classe </w:t>
      </w:r>
      <w:r>
        <w:t xml:space="preserve">e </w:t>
      </w:r>
      <w:r>
        <w:rPr>
          <w:b/>
        </w:rPr>
        <w:t xml:space="preserve">Comacchio </w:t>
      </w:r>
      <w:r>
        <w:t xml:space="preserve">con il suo Museo del Delta Antico dove è conservata una nave romana riemersa nel 1981 con il suo carico praticamente intatto. E sempre seguendo le antiche vie romane, si può esplorare l’entroterra partendo da </w:t>
      </w:r>
      <w:r>
        <w:rPr>
          <w:b/>
        </w:rPr>
        <w:t xml:space="preserve">Verucchio </w:t>
      </w:r>
      <w:r>
        <w:t xml:space="preserve">con il suo Museo Archeologico che racconta i primi insediamenti del territorio e arrivando a </w:t>
      </w:r>
      <w:r>
        <w:rPr>
          <w:b/>
        </w:rPr>
        <w:t>Sarsina</w:t>
      </w:r>
      <w:r>
        <w:t>, città natale del grande commediografo Plauto, con il Teatro Plautino e le terme romane della vicina Bagno di Romagna.</w:t>
      </w:r>
    </w:p>
    <w:p w14:paraId="426A9B9C" w14:textId="77777777" w:rsidR="005079E1" w:rsidRDefault="005079E1" w:rsidP="005079E1">
      <w:pPr>
        <w:jc w:val="both"/>
      </w:pPr>
    </w:p>
    <w:p w14:paraId="0EE08159" w14:textId="77777777" w:rsidR="005079E1" w:rsidRDefault="005079E1" w:rsidP="005079E1">
      <w:pPr>
        <w:jc w:val="both"/>
      </w:pPr>
      <w:r>
        <w:t>Al fianco di itinerari e percorsi, la Romagna è pronta a mettere in campo per il 2020 una lunga serie di eventi che fungono da volano per l’arrivo di appassionati e curiosi di storia: ci sono rassegne lunga tutta la stagione estiva, come “</w:t>
      </w:r>
      <w:r>
        <w:rPr>
          <w:b/>
        </w:rPr>
        <w:t>Classe al chiaro di luna</w:t>
      </w:r>
      <w:r>
        <w:t xml:space="preserve">” al Parco Archeologico di Classe, una serie di eventi serali tra laboratori didattici per bambini e famiglie, visite guidate e cene a tema storico con piatti delle antiche civiltà, oppure il </w:t>
      </w:r>
      <w:proofErr w:type="spellStart"/>
      <w:r>
        <w:rPr>
          <w:b/>
        </w:rPr>
        <w:t>Plautus</w:t>
      </w:r>
      <w:proofErr w:type="spellEnd"/>
      <w:r>
        <w:rPr>
          <w:b/>
        </w:rPr>
        <w:t xml:space="preserve"> Festival</w:t>
      </w:r>
      <w:r>
        <w:t xml:space="preserve">, che tra luglio e agosto vede l’Arena Plautina di Sarsina ospitare più di dieci spettacoli tra le opere di Plauto e alcune delle più interessanti produzioni moderne e contemporanee. Ma non mancano anche gli eventi concentrati in un weekend o una settimana, come la rievocazione storica del </w:t>
      </w:r>
      <w:proofErr w:type="spellStart"/>
      <w:r>
        <w:rPr>
          <w:b/>
        </w:rPr>
        <w:t>Bundan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Celtic</w:t>
      </w:r>
      <w:proofErr w:type="spellEnd"/>
      <w:r>
        <w:rPr>
          <w:b/>
        </w:rPr>
        <w:t xml:space="preserve"> Festival</w:t>
      </w:r>
      <w:r>
        <w:t xml:space="preserve"> a Stellata di Bondeno in provincia di Ferrara, in calendario dal 17 al 19 luglio, o </w:t>
      </w:r>
      <w:proofErr w:type="spellStart"/>
      <w:r>
        <w:rPr>
          <w:b/>
        </w:rPr>
        <w:t>Druidia</w:t>
      </w:r>
      <w:proofErr w:type="spellEnd"/>
      <w:r>
        <w:t xml:space="preserve">, che si terrà a metà agosto a Cesenatico: protagonisti in questo caso i nemici storici e iconografici dell’Impero, i gallici e celti. A Rimini invece, indicativamente a metà ottobre, si tiene da oltre vent’anni </w:t>
      </w:r>
      <w:r>
        <w:rPr>
          <w:b/>
        </w:rPr>
        <w:t>Antico/Presente - Festival del Mondo Antico</w:t>
      </w:r>
      <w:r>
        <w:t>: tre giorni di incontri, tavole rotonde, presentazioni di libri, visite guidate e rievocazioni storiche in cui leggere il passato per comprendere il presente e costruire con maggiore consapevolezza il futuro.</w:t>
      </w:r>
    </w:p>
    <w:p w14:paraId="55CEE65B" w14:textId="77777777" w:rsidR="005079E1" w:rsidRDefault="005079E1" w:rsidP="005079E1">
      <w:pPr>
        <w:jc w:val="both"/>
      </w:pPr>
    </w:p>
    <w:p w14:paraId="7D6825A5" w14:textId="77777777" w:rsidR="005079E1" w:rsidRDefault="005079E1" w:rsidP="005079E1">
      <w:pPr>
        <w:jc w:val="both"/>
      </w:pPr>
      <w:r>
        <w:t xml:space="preserve">L’attenzione della Romagna per la storia antica ha ricevuto le attenzioni anche dell’Unione Europea: </w:t>
      </w:r>
      <w:proofErr w:type="spellStart"/>
      <w:r>
        <w:t>Visit</w:t>
      </w:r>
      <w:proofErr w:type="spellEnd"/>
      <w:r>
        <w:t xml:space="preserve"> Romagna ha infatti partecipato al progetto europeo </w:t>
      </w:r>
      <w:proofErr w:type="spellStart"/>
      <w:r>
        <w:rPr>
          <w:b/>
        </w:rPr>
        <w:t>Hercultour</w:t>
      </w:r>
      <w:proofErr w:type="spellEnd"/>
      <w:r>
        <w:t>, che fa parte del</w:t>
      </w:r>
      <w:r>
        <w:rPr>
          <w:b/>
        </w:rPr>
        <w:t xml:space="preserve"> Programma </w:t>
      </w:r>
      <w:proofErr w:type="spellStart"/>
      <w:r>
        <w:rPr>
          <w:b/>
        </w:rPr>
        <w:t>Interreg</w:t>
      </w:r>
      <w:proofErr w:type="spellEnd"/>
      <w:r>
        <w:rPr>
          <w:b/>
        </w:rPr>
        <w:t xml:space="preserve"> Italia-Croazia </w:t>
      </w:r>
      <w:r>
        <w:t xml:space="preserve">e mira a creare un’offerta turistica integrata, valorizzando le bellezze culturali e naturali dei territori che si affacciano sull’Adriatico per favorirne la destagionalizzazione. Tra i risultati del progetti presentati nel corso della conferenza stampa alla Borsa mediterranea del turismo archeologico, il potenziamento dei due </w:t>
      </w:r>
      <w:r>
        <w:rPr>
          <w:b/>
        </w:rPr>
        <w:t>Visitor Center</w:t>
      </w:r>
      <w:r>
        <w:t xml:space="preserve"> di Rimini e di Classe in provincia di Ravenna, che diventano sempre più tecnologici e internazionali; la realizzazione e la distribuzione in più di mezzo milione di copie di un </w:t>
      </w:r>
      <w:r>
        <w:rPr>
          <w:b/>
        </w:rPr>
        <w:t>nuovo strumento di promozione degli itinerari</w:t>
      </w:r>
      <w:r>
        <w:t>, che da semplici percorsi si trasformano in racconti; la formazione degli operatori del turismo culturale nella direzione dell’</w:t>
      </w:r>
      <w:r>
        <w:rPr>
          <w:b/>
        </w:rPr>
        <w:t>interpretazione del patrimonio</w:t>
      </w:r>
      <w:r>
        <w:t xml:space="preserve">, che si rivela così capace di trasmettere esperienze; lo </w:t>
      </w:r>
      <w:r>
        <w:rPr>
          <w:b/>
        </w:rPr>
        <w:t>sviluppo di un itinerario culturale europeo sui Romani in Adriatico</w:t>
      </w:r>
      <w:r>
        <w:t>, che fa dialogare le coste dell’Italia e della Croazia.</w:t>
      </w:r>
    </w:p>
    <w:p w14:paraId="1F791D0F" w14:textId="77777777" w:rsidR="005079E1" w:rsidRDefault="005079E1" w:rsidP="005079E1">
      <w:pPr>
        <w:jc w:val="both"/>
      </w:pPr>
      <w:r>
        <w:br/>
        <w:t xml:space="preserve">Gli itinerari di Romagna Empire sono a disposizione sul sito </w:t>
      </w:r>
      <w:hyperlink r:id="rId12">
        <w:r>
          <w:rPr>
            <w:color w:val="1155CC"/>
            <w:u w:val="single"/>
          </w:rPr>
          <w:t>https://www.visitromagna.it/empire</w:t>
        </w:r>
      </w:hyperlink>
    </w:p>
    <w:p w14:paraId="045C9481" w14:textId="77777777" w:rsidR="005079E1" w:rsidRDefault="005079E1" w:rsidP="005079E1">
      <w:pPr>
        <w:jc w:val="both"/>
      </w:pPr>
      <w:r>
        <w:t xml:space="preserve">I racconti di Romagna Empire dello scrittore Matteo </w:t>
      </w:r>
      <w:proofErr w:type="spellStart"/>
      <w:r>
        <w:t>Cavezzali</w:t>
      </w:r>
      <w:proofErr w:type="spellEnd"/>
      <w:r>
        <w:t xml:space="preserve"> si possono leggere sul sito </w:t>
      </w:r>
      <w:hyperlink r:id="rId13">
        <w:r>
          <w:rPr>
            <w:color w:val="1155CC"/>
            <w:u w:val="single"/>
          </w:rPr>
          <w:t>http://www.riminiromana.it/it/romagnaempire</w:t>
        </w:r>
      </w:hyperlink>
      <w:r>
        <w:t xml:space="preserve"> </w:t>
      </w:r>
    </w:p>
    <w:p w14:paraId="6EB9DA59" w14:textId="77777777" w:rsidR="005079E1" w:rsidRDefault="005079E1" w:rsidP="005079E1">
      <w:pPr>
        <w:jc w:val="both"/>
      </w:pPr>
    </w:p>
    <w:p w14:paraId="6AFA7F17" w14:textId="77777777" w:rsidR="005079E1" w:rsidRDefault="005079E1" w:rsidP="005079E1">
      <w:pPr>
        <w:jc w:val="both"/>
      </w:pPr>
    </w:p>
    <w:p w14:paraId="26EA91D0" w14:textId="77777777" w:rsidR="005079E1" w:rsidRDefault="005079E1" w:rsidP="005079E1">
      <w:pPr>
        <w:jc w:val="both"/>
      </w:pPr>
      <w:r>
        <w:t xml:space="preserve">Per informazioni: </w:t>
      </w:r>
    </w:p>
    <w:p w14:paraId="0FE8A72A" w14:textId="77777777" w:rsidR="005079E1" w:rsidRDefault="005079E1" w:rsidP="005079E1">
      <w:pPr>
        <w:jc w:val="both"/>
      </w:pPr>
      <w:r>
        <w:br/>
        <w:t xml:space="preserve">Jacopo </w:t>
      </w:r>
      <w:proofErr w:type="spellStart"/>
      <w:r>
        <w:t>Frenquellucci</w:t>
      </w:r>
      <w:proofErr w:type="spellEnd"/>
      <w:r>
        <w:t xml:space="preserve"> - Ufficio stampa </w:t>
      </w:r>
      <w:proofErr w:type="spellStart"/>
      <w:r>
        <w:t>Visit</w:t>
      </w:r>
      <w:proofErr w:type="spellEnd"/>
      <w:r>
        <w:t xml:space="preserve"> Romagna</w:t>
      </w:r>
    </w:p>
    <w:p w14:paraId="6B61BE7D" w14:textId="77777777" w:rsidR="005079E1" w:rsidRDefault="005079E1" w:rsidP="005079E1">
      <w:pPr>
        <w:jc w:val="both"/>
      </w:pPr>
      <w:r>
        <w:t>3402746740 | jacopo.frenquellucci@gmail.com</w:t>
      </w:r>
    </w:p>
    <w:p w14:paraId="71465D8C" w14:textId="77777777" w:rsidR="007D1EB2" w:rsidRPr="007D1EB2" w:rsidRDefault="007D1EB2" w:rsidP="007D1EB2">
      <w:pPr>
        <w:pStyle w:val="Paragrafoelenco"/>
        <w:spacing w:line="320" w:lineRule="exact"/>
        <w:ind w:left="4820"/>
        <w:rPr>
          <w:rFonts w:asciiTheme="majorHAnsi" w:hAnsiTheme="majorHAnsi" w:cs="Arial"/>
        </w:rPr>
      </w:pPr>
    </w:p>
    <w:p w14:paraId="363AF0FF" w14:textId="77777777" w:rsidR="00893072" w:rsidRPr="004B411B" w:rsidRDefault="00893072" w:rsidP="00F95C59">
      <w:pPr>
        <w:spacing w:line="300" w:lineRule="exact"/>
        <w:jc w:val="both"/>
        <w:rPr>
          <w:rFonts w:asciiTheme="majorHAnsi" w:hAnsiTheme="majorHAnsi" w:cs="Arial"/>
        </w:rPr>
      </w:pPr>
    </w:p>
    <w:sectPr w:rsidR="00893072" w:rsidRPr="004B41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13E81" w14:textId="77777777" w:rsidR="001B4812" w:rsidRDefault="001B4812" w:rsidP="0091598C">
      <w:r>
        <w:separator/>
      </w:r>
    </w:p>
  </w:endnote>
  <w:endnote w:type="continuationSeparator" w:id="0">
    <w:p w14:paraId="2FAEB7EA" w14:textId="77777777" w:rsidR="001B4812" w:rsidRDefault="001B4812" w:rsidP="009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02D2" w14:textId="77777777" w:rsidR="0074520D" w:rsidRDefault="007452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4C4D" w14:textId="77777777" w:rsidR="00E801BB" w:rsidRDefault="00E801BB" w:rsidP="00E801BB">
    <w:pPr>
      <w:pStyle w:val="Contenutotabella"/>
      <w:jc w:val="center"/>
      <w:rPr>
        <w:rFonts w:ascii="Bahnschrift" w:hAnsi="Bahnschrift"/>
        <w:color w:val="262626" w:themeColor="text1" w:themeTint="D9"/>
        <w:sz w:val="20"/>
        <w:szCs w:val="20"/>
      </w:rPr>
    </w:pPr>
  </w:p>
  <w:p w14:paraId="7F5196AA" w14:textId="2DD8C13F" w:rsidR="005E236B" w:rsidRPr="00E801BB" w:rsidRDefault="006A5D80" w:rsidP="00E801BB">
    <w:pPr>
      <w:pStyle w:val="Contenutotabella"/>
      <w:jc w:val="center"/>
      <w:rPr>
        <w:rFonts w:ascii="Bahnschrift" w:hAnsi="Bahnschrift"/>
        <w:color w:val="262626" w:themeColor="text1" w:themeTint="D9"/>
        <w:sz w:val="20"/>
        <w:szCs w:val="20"/>
      </w:rPr>
    </w:pPr>
    <w:proofErr w:type="spellStart"/>
    <w:r w:rsidRPr="00E801BB">
      <w:rPr>
        <w:rFonts w:ascii="Bahnschrift" w:hAnsi="Bahnschrift"/>
        <w:color w:val="262626" w:themeColor="text1" w:themeTint="D9"/>
        <w:sz w:val="20"/>
        <w:szCs w:val="20"/>
      </w:rPr>
      <w:t>Visit</w:t>
    </w:r>
    <w:proofErr w:type="spellEnd"/>
    <w:r w:rsidR="00847EF5" w:rsidRPr="00E801BB">
      <w:rPr>
        <w:rFonts w:ascii="Bahnschrift" w:hAnsi="Bahnschrift"/>
        <w:color w:val="262626" w:themeColor="text1" w:themeTint="D9"/>
        <w:sz w:val="20"/>
        <w:szCs w:val="20"/>
      </w:rPr>
      <w:t xml:space="preserve"> Romagna</w:t>
    </w:r>
  </w:p>
  <w:p w14:paraId="5194331B" w14:textId="0DA1347B" w:rsidR="00847EF5" w:rsidRPr="00E801BB" w:rsidRDefault="000D03A4" w:rsidP="00816C55">
    <w:pPr>
      <w:pStyle w:val="Contenutotabella"/>
      <w:jc w:val="center"/>
      <w:rPr>
        <w:rFonts w:ascii="Bahnschrift" w:hAnsi="Bahnschrift"/>
        <w:color w:val="262626" w:themeColor="text1" w:themeTint="D9"/>
        <w:sz w:val="20"/>
        <w:szCs w:val="20"/>
      </w:rPr>
    </w:pPr>
    <w:r w:rsidRPr="00E801BB">
      <w:rPr>
        <w:rFonts w:ascii="Bahnschrift" w:hAnsi="Bahnschrift"/>
        <w:color w:val="262626" w:themeColor="text1" w:themeTint="D9"/>
        <w:sz w:val="20"/>
        <w:szCs w:val="20"/>
      </w:rPr>
      <w:t>Piazzale Federico Fellini, 3 – 47921 Rimini</w:t>
    </w:r>
  </w:p>
  <w:p w14:paraId="78B9B1E9" w14:textId="168D950B" w:rsidR="00847EF5" w:rsidRPr="00E801BB" w:rsidRDefault="00847EF5" w:rsidP="00816C55">
    <w:pPr>
      <w:pStyle w:val="Contenutotabella"/>
      <w:jc w:val="center"/>
      <w:rPr>
        <w:rFonts w:ascii="Bahnschrift" w:hAnsi="Bahnschrift"/>
        <w:color w:val="262626" w:themeColor="text1" w:themeTint="D9"/>
        <w:sz w:val="20"/>
        <w:szCs w:val="20"/>
        <w:lang w:val="en-US"/>
      </w:rPr>
    </w:pPr>
    <w:r w:rsidRPr="00E801BB">
      <w:rPr>
        <w:rFonts w:ascii="Bahnschrift" w:hAnsi="Bahnschrift"/>
        <w:color w:val="262626" w:themeColor="text1" w:themeTint="D9"/>
        <w:sz w:val="20"/>
        <w:szCs w:val="20"/>
        <w:lang w:val="en-US"/>
      </w:rPr>
      <w:t>Tel. 0541/716414 – 0541/7</w:t>
    </w:r>
    <w:r w:rsidR="00380470" w:rsidRPr="00E801BB">
      <w:rPr>
        <w:rFonts w:ascii="Bahnschrift" w:hAnsi="Bahnschrift"/>
        <w:color w:val="262626" w:themeColor="text1" w:themeTint="D9"/>
        <w:sz w:val="20"/>
        <w:szCs w:val="20"/>
        <w:lang w:val="en-US"/>
      </w:rPr>
      <w:t>9383</w:t>
    </w:r>
    <w:r w:rsidR="002720DE" w:rsidRPr="00E801BB">
      <w:rPr>
        <w:rFonts w:ascii="Bahnschrift" w:hAnsi="Bahnschrift"/>
        <w:color w:val="262626" w:themeColor="text1" w:themeTint="D9"/>
        <w:sz w:val="20"/>
        <w:szCs w:val="20"/>
        <w:lang w:val="en-US"/>
      </w:rPr>
      <w:t>5</w:t>
    </w:r>
  </w:p>
  <w:p w14:paraId="509B92D3" w14:textId="69E74851" w:rsidR="00E801BB" w:rsidRPr="00E801BB" w:rsidRDefault="00E801BB" w:rsidP="00816C55">
    <w:pPr>
      <w:pStyle w:val="Contenutotabella"/>
      <w:jc w:val="center"/>
      <w:rPr>
        <w:rFonts w:ascii="Bahnschrift" w:hAnsi="Bahnschrift"/>
        <w:color w:val="262626" w:themeColor="text1" w:themeTint="D9"/>
        <w:sz w:val="20"/>
        <w:szCs w:val="20"/>
        <w:lang w:val="en-US"/>
      </w:rPr>
    </w:pPr>
    <w:r w:rsidRPr="00E801BB">
      <w:rPr>
        <w:rFonts w:ascii="Bahnschrift" w:hAnsi="Bahnschrift"/>
        <w:color w:val="262626" w:themeColor="text1" w:themeTint="D9"/>
        <w:sz w:val="20"/>
        <w:szCs w:val="20"/>
        <w:lang w:val="en-US"/>
      </w:rPr>
      <w:t>info@visitromagna.it</w:t>
    </w:r>
  </w:p>
  <w:p w14:paraId="06EB2B7D" w14:textId="47B0678A" w:rsidR="00847EF5" w:rsidRPr="005079E1" w:rsidRDefault="006A5D80" w:rsidP="00F71455">
    <w:pPr>
      <w:jc w:val="center"/>
      <w:rPr>
        <w:rFonts w:ascii="Bahnschrift" w:eastAsia="Calibri" w:hAnsi="Bahnschrift"/>
        <w:b/>
        <w:bCs/>
        <w:color w:val="F82C35"/>
        <w:lang w:val="en-US"/>
      </w:rPr>
    </w:pPr>
    <w:r w:rsidRPr="005079E1">
      <w:rPr>
        <w:rFonts w:ascii="Bahnschrift" w:eastAsia="Calibri" w:hAnsi="Bahnschrift"/>
        <w:b/>
        <w:bCs/>
        <w:color w:val="00B0F0"/>
        <w:lang w:val="en-US"/>
      </w:rPr>
      <w:t>www.</w:t>
    </w:r>
    <w:r w:rsidRPr="005079E1">
      <w:rPr>
        <w:rFonts w:ascii="Bahnschrift" w:eastAsia="Calibri" w:hAnsi="Bahnschrift"/>
        <w:b/>
        <w:bCs/>
        <w:color w:val="91E400"/>
        <w:lang w:val="en-US"/>
      </w:rPr>
      <w:t>visit</w:t>
    </w:r>
    <w:r w:rsidRPr="005079E1">
      <w:rPr>
        <w:rFonts w:ascii="Bahnschrift" w:eastAsia="Calibri" w:hAnsi="Bahnschrift"/>
        <w:b/>
        <w:bCs/>
        <w:color w:val="FE8F01"/>
        <w:lang w:val="en-US"/>
      </w:rPr>
      <w:t>romagna</w:t>
    </w:r>
    <w:r w:rsidRPr="005079E1">
      <w:rPr>
        <w:rFonts w:ascii="Bahnschrift" w:eastAsia="Calibri" w:hAnsi="Bahnschrift"/>
        <w:b/>
        <w:bCs/>
        <w:color w:val="F82C35"/>
        <w:lang w:val="en-US"/>
      </w:rPr>
      <w:t>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B1B8" w14:textId="77777777" w:rsidR="0074520D" w:rsidRDefault="007452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00A6" w14:textId="77777777" w:rsidR="001B4812" w:rsidRDefault="001B4812" w:rsidP="0091598C">
      <w:r>
        <w:separator/>
      </w:r>
    </w:p>
  </w:footnote>
  <w:footnote w:type="continuationSeparator" w:id="0">
    <w:p w14:paraId="1A1102C6" w14:textId="77777777" w:rsidR="001B4812" w:rsidRDefault="001B4812" w:rsidP="0091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152AA" w14:textId="77777777" w:rsidR="0074520D" w:rsidRDefault="007452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DFC7A" w14:textId="20359D32" w:rsidR="00847EF5" w:rsidRDefault="007D1EB2" w:rsidP="00816C55">
    <w:pPr>
      <w:pStyle w:val="Intestazione"/>
      <w:spacing w:line="360" w:lineRule="auto"/>
      <w:jc w:val="center"/>
    </w:pPr>
    <w:r>
      <w:rPr>
        <w:noProof/>
      </w:rPr>
      <w:drawing>
        <wp:inline distT="0" distB="0" distL="0" distR="0" wp14:anchorId="43DC59CF" wp14:editId="09D4A61D">
          <wp:extent cx="2028825" cy="1055623"/>
          <wp:effectExtent l="0" t="0" r="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_LOGO_ROMAGNA_DOLCE_VITA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870" cy="107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B85B2" w14:textId="77777777" w:rsidR="00847EF5" w:rsidRDefault="00847EF5" w:rsidP="0091598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801A" w14:textId="77777777" w:rsidR="0074520D" w:rsidRDefault="007452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41"/>
    <w:multiLevelType w:val="hybridMultilevel"/>
    <w:tmpl w:val="6D003C36"/>
    <w:lvl w:ilvl="0" w:tplc="35CE9300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Trebuchet MS" w:hAnsi="Trebuchet MS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">
    <w:nsid w:val="0B654768"/>
    <w:multiLevelType w:val="hybridMultilevel"/>
    <w:tmpl w:val="79AE6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320D"/>
    <w:multiLevelType w:val="multilevel"/>
    <w:tmpl w:val="A4E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E416B"/>
    <w:multiLevelType w:val="hybridMultilevel"/>
    <w:tmpl w:val="D59C8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31F2E"/>
    <w:multiLevelType w:val="hybridMultilevel"/>
    <w:tmpl w:val="1DC44CB6"/>
    <w:lvl w:ilvl="0" w:tplc="1604EA1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6753F7"/>
    <w:multiLevelType w:val="hybridMultilevel"/>
    <w:tmpl w:val="092E9562"/>
    <w:lvl w:ilvl="0" w:tplc="0D62A5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B0A56"/>
    <w:multiLevelType w:val="hybridMultilevel"/>
    <w:tmpl w:val="50C87622"/>
    <w:lvl w:ilvl="0" w:tplc="0410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5EFD4A41"/>
    <w:multiLevelType w:val="hybridMultilevel"/>
    <w:tmpl w:val="EB56D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4247E"/>
    <w:multiLevelType w:val="hybridMultilevel"/>
    <w:tmpl w:val="D106665A"/>
    <w:lvl w:ilvl="0" w:tplc="A63031B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2ED1"/>
    <w:multiLevelType w:val="hybridMultilevel"/>
    <w:tmpl w:val="AA481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B"/>
    <w:rsid w:val="00000C1E"/>
    <w:rsid w:val="00006140"/>
    <w:rsid w:val="000359D9"/>
    <w:rsid w:val="00063FD5"/>
    <w:rsid w:val="000642EC"/>
    <w:rsid w:val="0009618D"/>
    <w:rsid w:val="000D03A4"/>
    <w:rsid w:val="000F4B73"/>
    <w:rsid w:val="001B4812"/>
    <w:rsid w:val="0022400C"/>
    <w:rsid w:val="00242579"/>
    <w:rsid w:val="0026501D"/>
    <w:rsid w:val="002720DE"/>
    <w:rsid w:val="003230DF"/>
    <w:rsid w:val="0032651F"/>
    <w:rsid w:val="00332B3D"/>
    <w:rsid w:val="00380470"/>
    <w:rsid w:val="003C6B57"/>
    <w:rsid w:val="00433222"/>
    <w:rsid w:val="004544FA"/>
    <w:rsid w:val="00465136"/>
    <w:rsid w:val="00470A31"/>
    <w:rsid w:val="00482B17"/>
    <w:rsid w:val="00497BCB"/>
    <w:rsid w:val="004B411B"/>
    <w:rsid w:val="005079E1"/>
    <w:rsid w:val="005479C8"/>
    <w:rsid w:val="0056514A"/>
    <w:rsid w:val="00577785"/>
    <w:rsid w:val="005A02F0"/>
    <w:rsid w:val="005C22E4"/>
    <w:rsid w:val="005D4EC2"/>
    <w:rsid w:val="005E236B"/>
    <w:rsid w:val="00606AF1"/>
    <w:rsid w:val="00642298"/>
    <w:rsid w:val="00656D8B"/>
    <w:rsid w:val="006A5D80"/>
    <w:rsid w:val="006C25D8"/>
    <w:rsid w:val="006D75AF"/>
    <w:rsid w:val="0070795A"/>
    <w:rsid w:val="00712380"/>
    <w:rsid w:val="0074520D"/>
    <w:rsid w:val="00791A8C"/>
    <w:rsid w:val="007A7251"/>
    <w:rsid w:val="007D1EB2"/>
    <w:rsid w:val="00805FEF"/>
    <w:rsid w:val="00816C55"/>
    <w:rsid w:val="00847EF5"/>
    <w:rsid w:val="00892D6A"/>
    <w:rsid w:val="00893072"/>
    <w:rsid w:val="0091598C"/>
    <w:rsid w:val="00927347"/>
    <w:rsid w:val="0096375D"/>
    <w:rsid w:val="009B7B6F"/>
    <w:rsid w:val="009D639A"/>
    <w:rsid w:val="009F0FE6"/>
    <w:rsid w:val="00A22B29"/>
    <w:rsid w:val="00A245D0"/>
    <w:rsid w:val="00A3121B"/>
    <w:rsid w:val="00A418AB"/>
    <w:rsid w:val="00A73B86"/>
    <w:rsid w:val="00AA2CBD"/>
    <w:rsid w:val="00B47EAC"/>
    <w:rsid w:val="00BB4180"/>
    <w:rsid w:val="00C04E47"/>
    <w:rsid w:val="00C16645"/>
    <w:rsid w:val="00CA3803"/>
    <w:rsid w:val="00CD713B"/>
    <w:rsid w:val="00CF61EF"/>
    <w:rsid w:val="00D25813"/>
    <w:rsid w:val="00D8536D"/>
    <w:rsid w:val="00DE4C86"/>
    <w:rsid w:val="00E05A5B"/>
    <w:rsid w:val="00E801BB"/>
    <w:rsid w:val="00E93FDD"/>
    <w:rsid w:val="00EE12D8"/>
    <w:rsid w:val="00F216EE"/>
    <w:rsid w:val="00F26F50"/>
    <w:rsid w:val="00F308FC"/>
    <w:rsid w:val="00F71455"/>
    <w:rsid w:val="00F82DC1"/>
    <w:rsid w:val="00F95C59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30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D6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73B8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59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59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59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9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98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ntenutotabella">
    <w:name w:val="Contenuto tabella"/>
    <w:basedOn w:val="Normale"/>
    <w:rsid w:val="00816C55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7E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D6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73B8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59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59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59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9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98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ntenutotabella">
    <w:name w:val="Contenuto tabella"/>
    <w:basedOn w:val="Normale"/>
    <w:rsid w:val="00816C55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miniromana.it/it/romagnaempir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visitromagna.it/empi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4effa07dcbbea49c056f9e41210ef223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3d6c548913ec62b5ec049b823d41c589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26238-3850-494B-A844-937A372F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ED2E7-A708-43D1-B7C6-EEE3BC2D0989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54235d7d-53ef-49f0-af50-945a336d427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8b22163-a684-4d95-ac21-99b58d2523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654360-2AF5-4018-9205-8E9CF9BA8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Sancisi</dc:creator>
  <cp:lastModifiedBy>Chiara</cp:lastModifiedBy>
  <cp:revision>2</cp:revision>
  <cp:lastPrinted>2019-11-08T13:39:00Z</cp:lastPrinted>
  <dcterms:created xsi:type="dcterms:W3CDTF">2019-11-15T09:29:00Z</dcterms:created>
  <dcterms:modified xsi:type="dcterms:W3CDTF">2019-11-15T09:29:00Z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