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4D701" w14:textId="041B4091" w:rsidR="00645F29" w:rsidRDefault="00645F29" w:rsidP="00645F29">
      <w:pPr>
        <w:spacing w:before="100" w:beforeAutospacing="1" w:after="100" w:afterAutospacing="1"/>
        <w:jc w:val="center"/>
        <w:outlineLvl w:val="0"/>
        <w:rPr>
          <w:rFonts w:ascii="Aptos" w:eastAsia="Times New Roman" w:hAnsi="Aptos" w:cs="Times New Roman"/>
          <w:b/>
          <w:bCs/>
          <w:kern w:val="36"/>
          <w:sz w:val="28"/>
          <w:szCs w:val="28"/>
          <w:lang w:eastAsia="it-IT"/>
        </w:rPr>
      </w:pPr>
      <w:r w:rsidRPr="001F4D1C">
        <w:rPr>
          <w:rFonts w:ascii="Aptos" w:eastAsia="Times New Roman" w:hAnsi="Aptos" w:cs="Times New Roman"/>
          <w:b/>
          <w:bCs/>
          <w:kern w:val="36"/>
          <w:sz w:val="28"/>
          <w:szCs w:val="28"/>
          <w:lang w:eastAsia="it-IT"/>
        </w:rPr>
        <w:t>A</w:t>
      </w:r>
      <w:r w:rsidR="00E90D70">
        <w:rPr>
          <w:rFonts w:ascii="Aptos" w:eastAsia="Times New Roman" w:hAnsi="Aptos" w:cs="Times New Roman"/>
          <w:b/>
          <w:bCs/>
          <w:kern w:val="36"/>
          <w:sz w:val="28"/>
          <w:szCs w:val="28"/>
          <w:lang w:eastAsia="it-IT"/>
        </w:rPr>
        <w:t>LES</w:t>
      </w:r>
      <w:r w:rsidRPr="001F4D1C">
        <w:rPr>
          <w:rFonts w:ascii="Aptos" w:eastAsia="Times New Roman" w:hAnsi="Aptos" w:cs="Times New Roman"/>
          <w:b/>
          <w:bCs/>
          <w:kern w:val="36"/>
          <w:sz w:val="28"/>
          <w:szCs w:val="28"/>
          <w:lang w:eastAsia="it-IT"/>
        </w:rPr>
        <w:t xml:space="preserve"> alla Borsa Mediterranea del Turismo Archeologico di Paestum</w:t>
      </w:r>
    </w:p>
    <w:p w14:paraId="019D4B9F" w14:textId="77777777" w:rsidR="003E76CC" w:rsidRPr="001F4D1C" w:rsidRDefault="003E76CC" w:rsidP="00645F29">
      <w:pPr>
        <w:spacing w:before="100" w:beforeAutospacing="1" w:after="100" w:afterAutospacing="1"/>
        <w:jc w:val="center"/>
        <w:outlineLvl w:val="0"/>
        <w:rPr>
          <w:rFonts w:ascii="Aptos" w:eastAsia="Times New Roman" w:hAnsi="Aptos" w:cs="Times New Roman"/>
          <w:b/>
          <w:bCs/>
          <w:kern w:val="36"/>
          <w:sz w:val="28"/>
          <w:szCs w:val="28"/>
          <w:lang w:eastAsia="it-IT"/>
        </w:rPr>
      </w:pPr>
    </w:p>
    <w:p w14:paraId="190415A1" w14:textId="00B0AF90" w:rsidR="00645F29" w:rsidRDefault="0055354C" w:rsidP="00645F29">
      <w:pPr>
        <w:spacing w:before="100" w:beforeAutospacing="1" w:after="100" w:afterAutospacing="1"/>
        <w:jc w:val="both"/>
        <w:rPr>
          <w:rFonts w:ascii="Aptos" w:eastAsia="Times New Roman" w:hAnsi="Aptos" w:cs="Times New Roman"/>
          <w:lang w:eastAsia="it-IT"/>
        </w:rPr>
      </w:pPr>
      <w:r w:rsidRPr="0055354C">
        <w:rPr>
          <w:rFonts w:ascii="Aptos" w:eastAsia="Times New Roman" w:hAnsi="Aptos" w:cs="Times New Roman"/>
          <w:b/>
          <w:lang w:eastAsia="it-IT"/>
        </w:rPr>
        <w:t>ALES</w:t>
      </w:r>
      <w:r w:rsidR="00645F29" w:rsidRPr="0055354C">
        <w:rPr>
          <w:rFonts w:ascii="Aptos" w:eastAsia="Times New Roman" w:hAnsi="Aptos" w:cs="Times New Roman"/>
          <w:b/>
          <w:lang w:eastAsia="it-IT"/>
        </w:rPr>
        <w:t xml:space="preserve"> S.p.A.</w:t>
      </w:r>
      <w:r w:rsidR="00645F29" w:rsidRPr="001F4D1C">
        <w:rPr>
          <w:rFonts w:ascii="Aptos" w:eastAsia="Times New Roman" w:hAnsi="Aptos" w:cs="Times New Roman"/>
          <w:lang w:eastAsia="it-IT"/>
        </w:rPr>
        <w:t>, società in house del Ministero della Cultura, sarà presente alla XXVIII Borsa Mediterranea del Turismo Archeologico, in programma a Paestum dal 29 ottobre al 1° novembre 2026</w:t>
      </w:r>
      <w:r>
        <w:rPr>
          <w:rFonts w:ascii="Aptos" w:eastAsia="Times New Roman" w:hAnsi="Aptos" w:cs="Times New Roman"/>
          <w:lang w:eastAsia="it-IT"/>
        </w:rPr>
        <w:t xml:space="preserve">, </w:t>
      </w:r>
      <w:r w:rsidR="00645F29">
        <w:rPr>
          <w:rFonts w:ascii="Aptos" w:eastAsia="Times New Roman" w:hAnsi="Aptos" w:cs="Times New Roman"/>
          <w:lang w:eastAsia="it-IT"/>
        </w:rPr>
        <w:t xml:space="preserve"> </w:t>
      </w:r>
      <w:r w:rsidR="00645F29" w:rsidRPr="00084671">
        <w:rPr>
          <w:rFonts w:ascii="Aptos" w:eastAsia="Times New Roman" w:hAnsi="Aptos" w:cs="Times New Roman"/>
          <w:lang w:eastAsia="it-IT"/>
        </w:rPr>
        <w:t xml:space="preserve">per presentare il proprio impegno a supporto del Ministero della Cultura nella </w:t>
      </w:r>
      <w:r w:rsidR="00645F29" w:rsidRPr="0055354C">
        <w:rPr>
          <w:rFonts w:ascii="Aptos" w:eastAsia="Times New Roman" w:hAnsi="Aptos" w:cs="Times New Roman"/>
          <w:i/>
          <w:lang w:eastAsia="it-IT"/>
        </w:rPr>
        <w:t>tutela, conservazione, valorizzazione e fruizione del patrimonio archeologico italiano</w:t>
      </w:r>
      <w:r w:rsidR="00B112A5">
        <w:rPr>
          <w:rFonts w:ascii="Aptos" w:eastAsia="Times New Roman" w:hAnsi="Aptos" w:cs="Times New Roman"/>
          <w:lang w:eastAsia="it-IT"/>
        </w:rPr>
        <w:t xml:space="preserve">, </w:t>
      </w:r>
      <w:r w:rsidR="00B112A5" w:rsidRPr="0055354C">
        <w:rPr>
          <w:rFonts w:ascii="Aptos" w:eastAsia="Times New Roman" w:hAnsi="Aptos" w:cs="Times New Roman"/>
          <w:lang w:eastAsia="it-IT"/>
        </w:rPr>
        <w:t xml:space="preserve">oltre che </w:t>
      </w:r>
      <w:r w:rsidR="00B112A5" w:rsidRPr="0055354C">
        <w:rPr>
          <w:rFonts w:ascii="Aptos" w:eastAsia="Times New Roman" w:hAnsi="Aptos" w:cs="Times New Roman"/>
          <w:i/>
          <w:lang w:eastAsia="it-IT"/>
        </w:rPr>
        <w:t xml:space="preserve">promuovere la </w:t>
      </w:r>
      <w:r w:rsidR="00E52724" w:rsidRPr="0055354C">
        <w:rPr>
          <w:rFonts w:ascii="Aptos" w:eastAsia="Times New Roman" w:hAnsi="Aptos" w:cs="Times New Roman"/>
          <w:i/>
          <w:lang w:eastAsia="it-IT"/>
        </w:rPr>
        <w:t>conoscenza</w:t>
      </w:r>
      <w:r w:rsidR="00B112A5" w:rsidRPr="0055354C">
        <w:rPr>
          <w:rFonts w:ascii="Aptos" w:eastAsia="Times New Roman" w:hAnsi="Aptos" w:cs="Times New Roman"/>
          <w:i/>
          <w:lang w:eastAsia="it-IT"/>
        </w:rPr>
        <w:t xml:space="preserve"> dell’Art Bonus come strumento per il sostegno economico</w:t>
      </w:r>
      <w:r w:rsidR="00B112A5" w:rsidRPr="0055354C">
        <w:rPr>
          <w:rFonts w:ascii="Aptos" w:eastAsia="Times New Roman" w:hAnsi="Aptos" w:cs="Times New Roman"/>
          <w:lang w:eastAsia="it-IT"/>
        </w:rPr>
        <w:t xml:space="preserve"> dei progetti di restauro e valorizzazione </w:t>
      </w:r>
      <w:r w:rsidR="00B112A5" w:rsidRPr="0055354C">
        <w:rPr>
          <w:rFonts w:ascii="Aptos" w:eastAsia="Times New Roman" w:hAnsi="Aptos" w:cs="Times New Roman"/>
          <w:i/>
          <w:lang w:eastAsia="it-IT"/>
        </w:rPr>
        <w:t>del patrimonio archeologico</w:t>
      </w:r>
      <w:r>
        <w:rPr>
          <w:rFonts w:ascii="Aptos" w:eastAsia="Times New Roman" w:hAnsi="Aptos" w:cs="Times New Roman"/>
          <w:i/>
          <w:lang w:eastAsia="it-IT"/>
        </w:rPr>
        <w:t>,</w:t>
      </w:r>
      <w:r w:rsidR="00B112A5" w:rsidRPr="0055354C">
        <w:rPr>
          <w:rFonts w:ascii="Aptos" w:eastAsia="Times New Roman" w:hAnsi="Aptos" w:cs="Times New Roman"/>
          <w:lang w:eastAsia="it-IT"/>
        </w:rPr>
        <w:t xml:space="preserve"> grazie alle donazioni </w:t>
      </w:r>
      <w:r w:rsidR="005D08DF" w:rsidRPr="0055354C">
        <w:rPr>
          <w:rFonts w:ascii="Aptos" w:eastAsia="Times New Roman" w:hAnsi="Aptos" w:cs="Times New Roman"/>
          <w:lang w:eastAsia="it-IT"/>
        </w:rPr>
        <w:t xml:space="preserve">in denaro </w:t>
      </w:r>
      <w:r w:rsidR="00B112A5" w:rsidRPr="0055354C">
        <w:rPr>
          <w:rFonts w:ascii="Aptos" w:eastAsia="Times New Roman" w:hAnsi="Aptos" w:cs="Times New Roman"/>
          <w:lang w:eastAsia="it-IT"/>
        </w:rPr>
        <w:t>da privati con il 65% di beneficio fiscale.</w:t>
      </w:r>
      <w:r w:rsidR="00B112A5">
        <w:rPr>
          <w:rFonts w:ascii="Aptos" w:eastAsia="Times New Roman" w:hAnsi="Aptos" w:cs="Times New Roman"/>
          <w:lang w:eastAsia="it-IT"/>
        </w:rPr>
        <w:t xml:space="preserve"> </w:t>
      </w:r>
    </w:p>
    <w:p w14:paraId="0FEA803B" w14:textId="06D2AA2A" w:rsidR="0055354C" w:rsidRDefault="0055354C" w:rsidP="00645F29">
      <w:pPr>
        <w:spacing w:before="100" w:beforeAutospacing="1" w:after="100" w:afterAutospacing="1"/>
        <w:jc w:val="both"/>
        <w:rPr>
          <w:rFonts w:ascii="Aptos" w:eastAsia="Times New Roman" w:hAnsi="Aptos" w:cs="Times New Roman"/>
          <w:lang w:eastAsia="it-IT"/>
        </w:rPr>
      </w:pPr>
      <w:r w:rsidRPr="0055354C">
        <w:rPr>
          <w:rFonts w:ascii="Aptos" w:eastAsia="Times New Roman" w:hAnsi="Aptos" w:cs="Times New Roman"/>
          <w:lang w:eastAsia="it-IT"/>
        </w:rPr>
        <w:t xml:space="preserve">Art Bonus è </w:t>
      </w:r>
      <w:r>
        <w:rPr>
          <w:rFonts w:ascii="Aptos" w:eastAsia="Times New Roman" w:hAnsi="Aptos" w:cs="Times New Roman"/>
          <w:lang w:eastAsia="it-IT"/>
        </w:rPr>
        <w:t>l</w:t>
      </w:r>
      <w:r w:rsidRPr="0055354C">
        <w:rPr>
          <w:rFonts w:ascii="Aptos" w:eastAsia="Times New Roman" w:hAnsi="Aptos" w:cs="Times New Roman"/>
          <w:lang w:eastAsia="it-IT"/>
        </w:rPr>
        <w:t xml:space="preserve">a norma introdotta con il DL 83 del 31 maggio 2014 che prevede erogazioni liberali per il sostegno alla cultura, con la possibilità di godere di benefici fiscali sotto forma di credito di imposta. Per favorire l’azione di conoscenza e diffusione della norma è strategico il ruolo statutario di promozione e gestione svolto dalla società Ales, che rappresenta sempre più per tutti i potenziali stakeholder un punto di riferimento (anche attraverso la gestione del portale </w:t>
      </w:r>
      <w:hyperlink r:id="rId6" w:history="1">
        <w:r w:rsidRPr="004751A4">
          <w:rPr>
            <w:rStyle w:val="Collegamentoipertestuale"/>
            <w:rFonts w:ascii="Aptos" w:eastAsia="Times New Roman" w:hAnsi="Aptos" w:cs="Times New Roman"/>
            <w:lang w:eastAsia="it-IT"/>
          </w:rPr>
          <w:t>www.artbonus.gov.it</w:t>
        </w:r>
      </w:hyperlink>
      <w:r>
        <w:rPr>
          <w:rFonts w:ascii="Aptos" w:eastAsia="Times New Roman" w:hAnsi="Aptos" w:cs="Times New Roman"/>
          <w:lang w:eastAsia="it-IT"/>
        </w:rPr>
        <w:t xml:space="preserve"> </w:t>
      </w:r>
      <w:r w:rsidRPr="0055354C">
        <w:rPr>
          <w:rFonts w:ascii="Aptos" w:eastAsia="Times New Roman" w:hAnsi="Aptos" w:cs="Times New Roman"/>
          <w:lang w:eastAsia="it-IT"/>
        </w:rPr>
        <w:t>previsto quale strumento di trasparenza dalla suddetta legge) e un’interfaccia istituzionale del MiC per una interlocuzione efficiente e competente che faciliti le sinergie pubblico-privati.</w:t>
      </w:r>
    </w:p>
    <w:p w14:paraId="4058FE5B" w14:textId="1883F1A2" w:rsidR="00645F29" w:rsidRPr="001F4D1C" w:rsidRDefault="00645F29" w:rsidP="00645F29">
      <w:pPr>
        <w:spacing w:before="100" w:beforeAutospacing="1" w:after="100" w:afterAutospacing="1"/>
        <w:jc w:val="both"/>
        <w:rPr>
          <w:rFonts w:ascii="Aptos" w:eastAsia="Times New Roman" w:hAnsi="Aptos" w:cs="Times New Roman"/>
          <w:lang w:eastAsia="it-IT"/>
        </w:rPr>
      </w:pPr>
      <w:r w:rsidRPr="001F4D1C">
        <w:rPr>
          <w:rFonts w:ascii="Aptos" w:eastAsia="Times New Roman" w:hAnsi="Aptos" w:cs="Times New Roman"/>
          <w:lang w:eastAsia="it-IT"/>
        </w:rPr>
        <w:t xml:space="preserve">La </w:t>
      </w:r>
      <w:r w:rsidR="0055354C" w:rsidRPr="0055354C">
        <w:rPr>
          <w:rFonts w:ascii="Aptos" w:eastAsia="Times New Roman" w:hAnsi="Aptos" w:cs="Times New Roman"/>
          <w:lang w:eastAsia="it-IT"/>
        </w:rPr>
        <w:t xml:space="preserve">Borsa Mediterranea del Turismo Archeologico </w:t>
      </w:r>
      <w:r w:rsidRPr="001F4D1C">
        <w:rPr>
          <w:rFonts w:ascii="Aptos" w:eastAsia="Times New Roman" w:hAnsi="Aptos" w:cs="Times New Roman"/>
          <w:lang w:eastAsia="it-IT"/>
        </w:rPr>
        <w:t>rappresenta un importante appuntamento internazionale dedicato alla conoscenza e alla valorizzazione del patrimonio archeologico e costituisce per Ales un'occasione per raccontare le attività e le professionalità messe a disposizione del Ministero della Cultura a supporto dei luoghi della cultura.</w:t>
      </w:r>
    </w:p>
    <w:p w14:paraId="3122BD5B" w14:textId="77777777" w:rsidR="00645F29" w:rsidRPr="001F4D1C" w:rsidRDefault="00645F29" w:rsidP="00645F29">
      <w:pPr>
        <w:spacing w:before="100" w:beforeAutospacing="1" w:after="100" w:afterAutospacing="1"/>
        <w:jc w:val="both"/>
        <w:rPr>
          <w:rFonts w:ascii="Aptos" w:eastAsia="Times New Roman" w:hAnsi="Aptos" w:cs="Times New Roman"/>
          <w:lang w:eastAsia="it-IT"/>
        </w:rPr>
      </w:pPr>
      <w:r w:rsidRPr="00B01B4D">
        <w:rPr>
          <w:rFonts w:ascii="Aptos" w:eastAsia="Times New Roman" w:hAnsi="Aptos" w:cs="Times New Roman"/>
          <w:lang w:eastAsia="it-IT"/>
        </w:rPr>
        <w:t>Presente con oltre 2.400 dipendenti</w:t>
      </w:r>
      <w:r w:rsidRPr="001F4D1C">
        <w:rPr>
          <w:rFonts w:ascii="Aptos" w:eastAsia="Times New Roman" w:hAnsi="Aptos" w:cs="Times New Roman"/>
          <w:lang w:eastAsia="it-IT"/>
        </w:rPr>
        <w:t xml:space="preserve"> presso circa 300 sedi del MiC distribuite in 17 regioni, Ales opera attraverso un sistema articolato di competenze che comprende servizi per il miglioramento della fruizione dei musei e dei parchi archeologici, attività di manutenzione programmata per la conservazione delle aree archeologiche e servizi specialistici a supporto delle attività di tutela e valorizzazione.</w:t>
      </w:r>
    </w:p>
    <w:p w14:paraId="1CC70CCD" w14:textId="6FC9B2F5" w:rsidR="00645F29" w:rsidRPr="001F4D1C" w:rsidRDefault="00645F29" w:rsidP="00645F29">
      <w:pPr>
        <w:spacing w:before="100" w:beforeAutospacing="1" w:after="100" w:afterAutospacing="1"/>
        <w:jc w:val="both"/>
        <w:rPr>
          <w:rFonts w:ascii="Aptos" w:eastAsia="Times New Roman" w:hAnsi="Aptos" w:cs="Times New Roman"/>
          <w:lang w:eastAsia="it-IT"/>
        </w:rPr>
      </w:pPr>
      <w:r w:rsidRPr="001F4D1C">
        <w:rPr>
          <w:rFonts w:ascii="Aptos" w:eastAsia="Times New Roman" w:hAnsi="Aptos" w:cs="Times New Roman"/>
          <w:lang w:eastAsia="it-IT"/>
        </w:rPr>
        <w:t xml:space="preserve">Nel settore archeologico, Ales interviene su due ambiti complementari. </w:t>
      </w:r>
      <w:r w:rsidR="009B1301">
        <w:rPr>
          <w:rFonts w:ascii="Aptos" w:eastAsia="Times New Roman" w:hAnsi="Aptos" w:cs="Times New Roman"/>
          <w:lang w:eastAsia="it-IT"/>
        </w:rPr>
        <w:t>In primo luogo assicurando</w:t>
      </w:r>
      <w:r w:rsidRPr="001F4D1C">
        <w:rPr>
          <w:rFonts w:ascii="Aptos" w:eastAsia="Times New Roman" w:hAnsi="Aptos" w:cs="Times New Roman"/>
          <w:lang w:eastAsia="it-IT"/>
        </w:rPr>
        <w:t xml:space="preserve"> i servizi rivolti all</w:t>
      </w:r>
      <w:r w:rsidR="009B1301">
        <w:rPr>
          <w:rFonts w:ascii="Aptos" w:eastAsia="Times New Roman" w:hAnsi="Aptos" w:cs="Times New Roman"/>
          <w:lang w:eastAsia="it-IT"/>
        </w:rPr>
        <w:t>’</w:t>
      </w:r>
      <w:r w:rsidRPr="001F4D1C">
        <w:rPr>
          <w:rFonts w:ascii="Aptos" w:eastAsia="Times New Roman" w:hAnsi="Aptos" w:cs="Times New Roman"/>
          <w:lang w:eastAsia="it-IT"/>
        </w:rPr>
        <w:t xml:space="preserve">accoglienza, </w:t>
      </w:r>
      <w:r w:rsidR="009B1301">
        <w:rPr>
          <w:rFonts w:ascii="Aptos" w:eastAsia="Times New Roman" w:hAnsi="Aptos" w:cs="Times New Roman"/>
          <w:lang w:eastAsia="it-IT"/>
        </w:rPr>
        <w:t>all’</w:t>
      </w:r>
      <w:r w:rsidRPr="001F4D1C">
        <w:rPr>
          <w:rFonts w:ascii="Aptos" w:eastAsia="Times New Roman" w:hAnsi="Aptos" w:cs="Times New Roman"/>
          <w:lang w:eastAsia="it-IT"/>
        </w:rPr>
        <w:t xml:space="preserve">assistenza ai visitatori e vigilanza sui beni, contribuendo </w:t>
      </w:r>
      <w:r w:rsidR="009B1301">
        <w:rPr>
          <w:rFonts w:ascii="Aptos" w:eastAsia="Times New Roman" w:hAnsi="Aptos" w:cs="Times New Roman"/>
          <w:lang w:eastAsia="it-IT"/>
        </w:rPr>
        <w:t xml:space="preserve">così </w:t>
      </w:r>
      <w:r w:rsidRPr="001F4D1C">
        <w:rPr>
          <w:rFonts w:ascii="Aptos" w:eastAsia="Times New Roman" w:hAnsi="Aptos" w:cs="Times New Roman"/>
          <w:lang w:eastAsia="it-IT"/>
        </w:rPr>
        <w:t>a rendere accessibili e fruibili i luoghi della cultura e fornendo, dove previsto, anche informazioni storico-artistiche sul contesto. Ales è oggi presente in numerosi musei e parchi archeologici italiani, tra cui il Parco archeologico di Pompei, il Parco archeologico del Colosseo, il Museo Archeologico Nazionale di Napoli e il Parco archeologico dell'Appia Antica.</w:t>
      </w:r>
    </w:p>
    <w:p w14:paraId="1B42C58E" w14:textId="69270B84" w:rsidR="00645F29" w:rsidRPr="001F4D1C" w:rsidRDefault="009B1301" w:rsidP="00645F29">
      <w:pPr>
        <w:spacing w:before="100" w:beforeAutospacing="1" w:after="100" w:afterAutospacing="1"/>
        <w:jc w:val="both"/>
        <w:rPr>
          <w:rFonts w:ascii="Aptos" w:eastAsia="Times New Roman" w:hAnsi="Aptos" w:cs="Times New Roman"/>
          <w:lang w:eastAsia="it-IT"/>
        </w:rPr>
      </w:pPr>
      <w:r>
        <w:rPr>
          <w:rFonts w:ascii="Aptos" w:eastAsia="Times New Roman" w:hAnsi="Aptos" w:cs="Times New Roman"/>
          <w:lang w:eastAsia="it-IT"/>
        </w:rPr>
        <w:t>Oltre a questa attività</w:t>
      </w:r>
      <w:r w:rsidR="00645F29" w:rsidRPr="001F4D1C">
        <w:rPr>
          <w:rFonts w:ascii="Aptos" w:eastAsia="Times New Roman" w:hAnsi="Aptos" w:cs="Times New Roman"/>
          <w:lang w:eastAsia="it-IT"/>
        </w:rPr>
        <w:t xml:space="preserve">, Ales supporta alcune aree archeologiche attraverso servizi di manutenzione programmata e di miglioramento del decoro, finalizzati a mantenere i manufatti archeologici in condizioni di integrità e a favorire la conservazione preventiva dei siti. Si tratta di un modello che integra la componente esecutiva, costituita da operai e restauratori, con </w:t>
      </w:r>
      <w:r w:rsidR="00645F29" w:rsidRPr="001F4D1C">
        <w:rPr>
          <w:rFonts w:ascii="Aptos" w:eastAsia="Times New Roman" w:hAnsi="Aptos" w:cs="Times New Roman"/>
          <w:lang w:eastAsia="it-IT"/>
        </w:rPr>
        <w:lastRenderedPageBreak/>
        <w:t>quella tecnico-scientifica, che coinvolge archeologi e architetti impegnati nel monitoraggio delle aree, nella progettazione e nella documentazione degli interventi e nell'analisi dei dati acquisiti.</w:t>
      </w:r>
    </w:p>
    <w:p w14:paraId="6BA18B16" w14:textId="77777777" w:rsidR="00645F29" w:rsidRPr="001F4D1C" w:rsidRDefault="00645F29" w:rsidP="00645F29">
      <w:pPr>
        <w:spacing w:before="100" w:beforeAutospacing="1" w:after="100" w:afterAutospacing="1"/>
        <w:jc w:val="both"/>
        <w:rPr>
          <w:rFonts w:ascii="Aptos" w:eastAsia="Times New Roman" w:hAnsi="Aptos" w:cs="Times New Roman"/>
          <w:lang w:eastAsia="it-IT"/>
        </w:rPr>
      </w:pPr>
      <w:r w:rsidRPr="001F4D1C">
        <w:rPr>
          <w:rFonts w:ascii="Aptos" w:eastAsia="Times New Roman" w:hAnsi="Aptos" w:cs="Times New Roman"/>
          <w:lang w:eastAsia="it-IT"/>
        </w:rPr>
        <w:t>Il modello, sperimentato per la prima volta nel 2015 presso il Parco Archeologico di Pompei, è stato progressivamente sviluppato attraverso programmi di manutenzione sempre più articolati e interventi orientati, secondo il principio del minimo intervento, alla conservazione preventiva delle superfici murarie e degli apparati decorativi. Oggi il servizio è operativo, oltre che a Pompei, anche presso il Parco archeologico di Ostia antica, il Parco archeologico dei Campi Flegrei, il Parco archeologico di Paestum e l'area archeologica di Porto Torres.</w:t>
      </w:r>
    </w:p>
    <w:p w14:paraId="2F61B52B" w14:textId="77777777" w:rsidR="00645F29" w:rsidRPr="001F4D1C" w:rsidRDefault="00645F29" w:rsidP="00645F29">
      <w:pPr>
        <w:spacing w:before="100" w:beforeAutospacing="1" w:after="100" w:afterAutospacing="1"/>
        <w:jc w:val="both"/>
        <w:rPr>
          <w:rFonts w:ascii="Aptos" w:eastAsia="Times New Roman" w:hAnsi="Aptos" w:cs="Times New Roman"/>
          <w:lang w:eastAsia="it-IT"/>
        </w:rPr>
      </w:pPr>
      <w:r w:rsidRPr="001F4D1C">
        <w:rPr>
          <w:rFonts w:ascii="Aptos" w:eastAsia="Times New Roman" w:hAnsi="Aptos" w:cs="Times New Roman"/>
          <w:lang w:eastAsia="it-IT"/>
        </w:rPr>
        <w:t>La presenza alla Borsa Mediterranea del Turismo Archeologico assume quindi un significato particolare anche per il rapporto con il territorio di Paestum, dove Ales è impegnata proprio nell'ambito della manutenzione programmata e del supporto alla conservazione dell'area archeologica. L'esperienza maturata in questo settore testimonia un approccio nel quale tutela e fruizione procedono insieme, attraverso la collaborazione tra professionalità operative e tecnico-scientifiche.</w:t>
      </w:r>
    </w:p>
    <w:p w14:paraId="526FF4EF" w14:textId="77777777" w:rsidR="00645F29" w:rsidRPr="001F4D1C" w:rsidRDefault="00645F29" w:rsidP="00645F29">
      <w:pPr>
        <w:spacing w:before="100" w:beforeAutospacing="1" w:after="100" w:afterAutospacing="1"/>
        <w:jc w:val="both"/>
        <w:rPr>
          <w:rFonts w:ascii="Aptos" w:eastAsia="Times New Roman" w:hAnsi="Aptos" w:cs="Times New Roman"/>
          <w:lang w:eastAsia="it-IT"/>
        </w:rPr>
      </w:pPr>
      <w:r w:rsidRPr="001F4D1C">
        <w:rPr>
          <w:rFonts w:ascii="Aptos" w:eastAsia="Times New Roman" w:hAnsi="Aptos" w:cs="Times New Roman"/>
          <w:lang w:eastAsia="it-IT"/>
        </w:rPr>
        <w:t>La partecipazione alla manifestazione sarà inoltre un'opportunità per mettere in evidenza il contributo di Ales alla costruzione di modelli organizzativi capaci di rispondere alle esigenze dei diversi luoghi della cultura, valorizzando competenze e professionalità specialistiche e operando in sinergia con le strutture del Ministero della Cultura.</w:t>
      </w:r>
    </w:p>
    <w:p w14:paraId="2C144526" w14:textId="77777777" w:rsidR="00645F29" w:rsidRPr="001F4D1C" w:rsidRDefault="00645F29" w:rsidP="00645F29">
      <w:pPr>
        <w:spacing w:before="100" w:beforeAutospacing="1" w:after="100" w:afterAutospacing="1"/>
        <w:jc w:val="both"/>
        <w:rPr>
          <w:rFonts w:ascii="Aptos" w:eastAsia="Times New Roman" w:hAnsi="Aptos" w:cs="Times New Roman"/>
          <w:lang w:eastAsia="it-IT"/>
        </w:rPr>
      </w:pPr>
      <w:r w:rsidRPr="001F4D1C">
        <w:rPr>
          <w:rFonts w:ascii="Aptos" w:eastAsia="Times New Roman" w:hAnsi="Aptos" w:cs="Times New Roman"/>
          <w:lang w:eastAsia="it-IT"/>
        </w:rPr>
        <w:t>Attraverso le attività svolte nei musei, nei parchi e nelle aree archeologiche, Ales contribuisce così a sostenere un sistema nel quale la conservazione del patrimonio, la qualità della fruizione e la valorizzazione dei luoghi rappresentano componenti integrate di un'unica strategia di tutela e accessibilità del patrimonio culturale italiano.</w:t>
      </w:r>
    </w:p>
    <w:p w14:paraId="28B2BFA1" w14:textId="29AACA0F" w:rsidR="00152961" w:rsidRDefault="00152961">
      <w:pPr>
        <w:rPr>
          <w:rFonts w:ascii="Arial" w:hAnsi="Arial" w:cs="Arial"/>
          <w:sz w:val="22"/>
          <w:szCs w:val="22"/>
        </w:rPr>
      </w:pPr>
      <w:bookmarkStart w:id="0" w:name="_GoBack"/>
      <w:bookmarkEnd w:id="0"/>
    </w:p>
    <w:sectPr w:rsidR="00152961" w:rsidSect="00E64E0C">
      <w:headerReference w:type="default" r:id="rId7"/>
      <w:footerReference w:type="even" r:id="rId8"/>
      <w:footerReference w:type="default" r:id="rId9"/>
      <w:headerReference w:type="first" r:id="rId10"/>
      <w:footerReference w:type="first" r:id="rId11"/>
      <w:pgSz w:w="11906" w:h="16838"/>
      <w:pgMar w:top="1417" w:right="1134" w:bottom="1134" w:left="1134"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A1367" w14:textId="77777777" w:rsidR="008123AF" w:rsidRDefault="008123AF" w:rsidP="00037296">
      <w:r>
        <w:separator/>
      </w:r>
    </w:p>
  </w:endnote>
  <w:endnote w:type="continuationSeparator" w:id="0">
    <w:p w14:paraId="02327DC3" w14:textId="77777777" w:rsidR="008123AF" w:rsidRDefault="008123AF" w:rsidP="00037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mbria"/>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1124929998"/>
      <w:docPartObj>
        <w:docPartGallery w:val="Page Numbers (Bottom of Page)"/>
        <w:docPartUnique/>
      </w:docPartObj>
    </w:sdtPr>
    <w:sdtEndPr>
      <w:rPr>
        <w:rStyle w:val="Numeropagina"/>
      </w:rPr>
    </w:sdtEndPr>
    <w:sdtContent>
      <w:p w14:paraId="486CAC38" w14:textId="03BC00DB" w:rsidR="00152961" w:rsidRDefault="00152961" w:rsidP="0071775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0DF378A" w14:textId="77777777" w:rsidR="00E64E0C" w:rsidRDefault="00E64E0C" w:rsidP="00152961">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4D566" w14:textId="78A6CEB9" w:rsidR="00152961" w:rsidRDefault="00152961" w:rsidP="00152961">
    <w:pPr>
      <w:pStyle w:val="Pidipagina"/>
      <w:jc w:val="both"/>
      <w:rPr>
        <w:color w:val="1E2D69"/>
        <w:sz w:val="20"/>
        <w:szCs w:val="20"/>
      </w:rPr>
    </w:pPr>
    <w:r w:rsidRPr="00152961">
      <w:rPr>
        <w:color w:val="1E2D69"/>
        <w:sz w:val="20"/>
        <w:szCs w:val="20"/>
      </w:rPr>
      <w:ptab w:relativeTo="margin" w:alignment="center" w:leader="none"/>
    </w:r>
    <w:r w:rsidRPr="00152961">
      <w:rPr>
        <w:color w:val="1E2D69"/>
        <w:sz w:val="20"/>
        <w:szCs w:val="20"/>
      </w:rPr>
      <w:ptab w:relativeTo="margin" w:alignment="right" w:leader="none"/>
    </w:r>
    <w:r>
      <w:rPr>
        <w:color w:val="1E2D69"/>
        <w:sz w:val="20"/>
        <w:szCs w:val="20"/>
      </w:rPr>
      <w:t xml:space="preserve">Pagina </w:t>
    </w:r>
    <w:r>
      <w:rPr>
        <w:color w:val="1E2D69"/>
        <w:sz w:val="20"/>
        <w:szCs w:val="20"/>
      </w:rPr>
      <w:fldChar w:fldCharType="begin"/>
    </w:r>
    <w:r>
      <w:rPr>
        <w:color w:val="1E2D69"/>
        <w:sz w:val="20"/>
        <w:szCs w:val="20"/>
      </w:rPr>
      <w:instrText xml:space="preserve"> PAGE  \* MERGEFORMAT </w:instrText>
    </w:r>
    <w:r>
      <w:rPr>
        <w:color w:val="1E2D69"/>
        <w:sz w:val="20"/>
        <w:szCs w:val="20"/>
      </w:rPr>
      <w:fldChar w:fldCharType="separate"/>
    </w:r>
    <w:r>
      <w:rPr>
        <w:noProof/>
        <w:color w:val="1E2D69"/>
        <w:sz w:val="20"/>
        <w:szCs w:val="20"/>
      </w:rPr>
      <w:t>2</w:t>
    </w:r>
    <w:r>
      <w:rPr>
        <w:color w:val="1E2D69"/>
        <w:sz w:val="20"/>
        <w:szCs w:val="20"/>
      </w:rPr>
      <w:fldChar w:fldCharType="end"/>
    </w:r>
    <w:r>
      <w:rPr>
        <w:color w:val="1E2D69"/>
        <w:sz w:val="20"/>
        <w:szCs w:val="20"/>
      </w:rPr>
      <w:t xml:space="preserve"> di </w:t>
    </w:r>
    <w:r>
      <w:rPr>
        <w:color w:val="1E2D69"/>
        <w:sz w:val="20"/>
        <w:szCs w:val="20"/>
      </w:rPr>
      <w:fldChar w:fldCharType="begin"/>
    </w:r>
    <w:r>
      <w:rPr>
        <w:color w:val="1E2D69"/>
        <w:sz w:val="20"/>
        <w:szCs w:val="20"/>
      </w:rPr>
      <w:instrText xml:space="preserve"> NUMPAGES  \* MERGEFORMAT </w:instrText>
    </w:r>
    <w:r>
      <w:rPr>
        <w:color w:val="1E2D69"/>
        <w:sz w:val="20"/>
        <w:szCs w:val="20"/>
      </w:rPr>
      <w:fldChar w:fldCharType="separate"/>
    </w:r>
    <w:r>
      <w:rPr>
        <w:noProof/>
        <w:color w:val="1E2D69"/>
        <w:sz w:val="20"/>
        <w:szCs w:val="20"/>
      </w:rPr>
      <w:t>2</w:t>
    </w:r>
    <w:r>
      <w:rPr>
        <w:color w:val="1E2D69"/>
        <w:sz w:val="20"/>
        <w:szCs w:val="20"/>
      </w:rPr>
      <w:fldChar w:fldCharType="end"/>
    </w:r>
  </w:p>
  <w:p w14:paraId="20951998" w14:textId="77777777" w:rsidR="00152961" w:rsidRPr="00F74265" w:rsidRDefault="00152961" w:rsidP="00152961">
    <w:pPr>
      <w:pStyle w:val="Pidipagina"/>
      <w:jc w:val="both"/>
      <w:rPr>
        <w:color w:val="1E2D69"/>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03E20" w14:textId="77777777" w:rsidR="00E64E0C" w:rsidRDefault="00E64E0C" w:rsidP="00E64E0C">
    <w:pPr>
      <w:ind w:right="-285" w:hanging="284"/>
    </w:pPr>
    <w:r>
      <w:rPr>
        <w:noProof/>
      </w:rPr>
      <w:drawing>
        <wp:inline distT="0" distB="0" distL="0" distR="0" wp14:anchorId="509E86A8" wp14:editId="6CA0CD5F">
          <wp:extent cx="6477000" cy="88900"/>
          <wp:effectExtent l="0" t="0" r="0" b="0"/>
          <wp:docPr id="152864548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08094" name="Immagine 718808094"/>
                  <pic:cNvPicPr/>
                </pic:nvPicPr>
                <pic:blipFill>
                  <a:blip r:embed="rId1">
                    <a:extLst>
                      <a:ext uri="{28A0092B-C50C-407E-A947-70E740481C1C}">
                        <a14:useLocalDpi xmlns:a14="http://schemas.microsoft.com/office/drawing/2010/main" val="0"/>
                      </a:ext>
                    </a:extLst>
                  </a:blip>
                  <a:stretch>
                    <a:fillRect/>
                  </a:stretch>
                </pic:blipFill>
                <pic:spPr>
                  <a:xfrm>
                    <a:off x="0" y="0"/>
                    <a:ext cx="6477000" cy="88900"/>
                  </a:xfrm>
                  <a:prstGeom prst="rect">
                    <a:avLst/>
                  </a:prstGeom>
                </pic:spPr>
              </pic:pic>
            </a:graphicData>
          </a:graphic>
        </wp:inline>
      </w:drawing>
    </w:r>
  </w:p>
  <w:p w14:paraId="009C0687" w14:textId="77777777" w:rsidR="00E64E0C" w:rsidRDefault="00E64E0C" w:rsidP="00E64E0C"/>
  <w:tbl>
    <w:tblPr>
      <w:tblStyle w:val="Grigliatabella"/>
      <w:tblW w:w="1020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1"/>
      <w:gridCol w:w="1896"/>
      <w:gridCol w:w="1984"/>
      <w:gridCol w:w="2126"/>
      <w:gridCol w:w="1985"/>
    </w:tblGrid>
    <w:tr w:rsidR="00E64E0C" w:rsidRPr="00D05438" w14:paraId="7D7BC825" w14:textId="77777777" w:rsidTr="00E64E0C">
      <w:trPr>
        <w:trHeight w:val="794"/>
      </w:trPr>
      <w:tc>
        <w:tcPr>
          <w:tcW w:w="2211" w:type="dxa"/>
        </w:tcPr>
        <w:p w14:paraId="7CB325A8" w14:textId="77777777" w:rsidR="00E64E0C" w:rsidRPr="00D05438" w:rsidRDefault="00E64E0C" w:rsidP="00E64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85"/>
            <w:rPr>
              <w:rFonts w:ascii="Arial" w:hAnsi="Arial" w:cs="Arial"/>
              <w:b/>
              <w:bCs/>
              <w:color w:val="203165"/>
              <w:kern w:val="0"/>
              <w:sz w:val="16"/>
              <w:szCs w:val="16"/>
            </w:rPr>
          </w:pPr>
          <w:r w:rsidRPr="00D05438">
            <w:rPr>
              <w:rFonts w:ascii="Arial" w:hAnsi="Arial" w:cs="Arial"/>
              <w:b/>
              <w:bCs/>
              <w:color w:val="203165"/>
              <w:kern w:val="0"/>
              <w:sz w:val="16"/>
              <w:szCs w:val="16"/>
            </w:rPr>
            <w:t xml:space="preserve">Ales Arte Lavoro </w:t>
          </w:r>
          <w:r w:rsidRPr="00D05438">
            <w:rPr>
              <w:rFonts w:ascii="Arial" w:hAnsi="Arial" w:cs="Arial"/>
              <w:b/>
              <w:bCs/>
              <w:color w:val="203165"/>
              <w:kern w:val="0"/>
              <w:sz w:val="16"/>
              <w:szCs w:val="16"/>
            </w:rPr>
            <w:br/>
            <w:t>e Servizi S.p.A.</w:t>
          </w:r>
        </w:p>
        <w:p w14:paraId="7FB89C35" w14:textId="77777777" w:rsidR="00E64E0C" w:rsidRPr="00D05438" w:rsidRDefault="00E64E0C" w:rsidP="00E64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85"/>
            <w:rPr>
              <w:rFonts w:ascii="Arial" w:hAnsi="Arial" w:cs="Arial"/>
              <w:color w:val="203165"/>
              <w:kern w:val="0"/>
              <w:sz w:val="16"/>
              <w:szCs w:val="16"/>
            </w:rPr>
          </w:pPr>
          <w:r w:rsidRPr="00D05438">
            <w:rPr>
              <w:rFonts w:ascii="Arial" w:hAnsi="Arial" w:cs="Arial"/>
              <w:color w:val="203165"/>
              <w:kern w:val="0"/>
              <w:sz w:val="16"/>
              <w:szCs w:val="16"/>
            </w:rPr>
            <w:t xml:space="preserve">Socio Unico: </w:t>
          </w:r>
          <w:r w:rsidRPr="00D05438">
            <w:rPr>
              <w:rFonts w:ascii="Arial" w:hAnsi="Arial" w:cs="Arial"/>
              <w:color w:val="203165"/>
              <w:kern w:val="0"/>
              <w:sz w:val="16"/>
              <w:szCs w:val="16"/>
            </w:rPr>
            <w:br/>
            <w:t>Ministero della Cultura (MiC)</w:t>
          </w:r>
        </w:p>
      </w:tc>
      <w:tc>
        <w:tcPr>
          <w:tcW w:w="1896" w:type="dxa"/>
        </w:tcPr>
        <w:p w14:paraId="684DA47F" w14:textId="77777777" w:rsidR="00E64E0C" w:rsidRPr="00D05438" w:rsidRDefault="00E64E0C" w:rsidP="00E64E0C">
          <w:pPr>
            <w:pStyle w:val="Pidipagina"/>
            <w:ind w:left="-85"/>
            <w:rPr>
              <w:rFonts w:ascii="Arial" w:hAnsi="Arial" w:cs="Arial"/>
              <w:b/>
              <w:bCs/>
              <w:color w:val="203165"/>
              <w:kern w:val="0"/>
              <w:sz w:val="16"/>
              <w:szCs w:val="16"/>
            </w:rPr>
          </w:pPr>
          <w:r w:rsidRPr="00D05438">
            <w:rPr>
              <w:rFonts w:ascii="Arial" w:hAnsi="Arial" w:cs="Arial"/>
              <w:b/>
              <w:bCs/>
              <w:color w:val="203165"/>
              <w:kern w:val="0"/>
              <w:sz w:val="16"/>
              <w:szCs w:val="16"/>
            </w:rPr>
            <w:t xml:space="preserve">Sede </w:t>
          </w:r>
          <w:r>
            <w:rPr>
              <w:rFonts w:ascii="Arial" w:hAnsi="Arial" w:cs="Arial"/>
              <w:b/>
              <w:bCs/>
              <w:color w:val="203165"/>
              <w:kern w:val="0"/>
              <w:sz w:val="16"/>
              <w:szCs w:val="16"/>
            </w:rPr>
            <w:t>L</w:t>
          </w:r>
          <w:r w:rsidRPr="00D05438">
            <w:rPr>
              <w:rFonts w:ascii="Arial" w:hAnsi="Arial" w:cs="Arial"/>
              <w:b/>
              <w:bCs/>
              <w:color w:val="203165"/>
              <w:kern w:val="0"/>
              <w:sz w:val="16"/>
              <w:szCs w:val="16"/>
            </w:rPr>
            <w:t xml:space="preserve">egale </w:t>
          </w:r>
        </w:p>
        <w:p w14:paraId="05AC9719" w14:textId="77777777" w:rsidR="00E64E0C" w:rsidRPr="00D05438" w:rsidRDefault="00E64E0C" w:rsidP="00E64E0C">
          <w:pPr>
            <w:pStyle w:val="Pidipagina"/>
            <w:ind w:left="-85"/>
            <w:rPr>
              <w:rFonts w:ascii="Arial" w:hAnsi="Arial" w:cs="Arial"/>
              <w:color w:val="203165"/>
              <w:sz w:val="16"/>
              <w:szCs w:val="16"/>
            </w:rPr>
          </w:pPr>
          <w:r w:rsidRPr="00D05438">
            <w:rPr>
              <w:rFonts w:ascii="Arial" w:hAnsi="Arial" w:cs="Arial"/>
              <w:color w:val="203165"/>
              <w:sz w:val="16"/>
              <w:szCs w:val="16"/>
            </w:rPr>
            <w:t>Via Nazionale, 243</w:t>
          </w:r>
        </w:p>
        <w:p w14:paraId="492D5054" w14:textId="77777777" w:rsidR="00E64E0C" w:rsidRPr="00D05438" w:rsidRDefault="00E64E0C" w:rsidP="00E64E0C">
          <w:pPr>
            <w:pStyle w:val="Pidipagina"/>
            <w:ind w:left="-85"/>
            <w:rPr>
              <w:rFonts w:ascii="Arial" w:hAnsi="Arial" w:cs="Arial"/>
              <w:color w:val="203165"/>
              <w:sz w:val="16"/>
              <w:szCs w:val="16"/>
            </w:rPr>
          </w:pPr>
          <w:r w:rsidRPr="00D05438">
            <w:rPr>
              <w:rFonts w:ascii="Arial" w:hAnsi="Arial" w:cs="Arial"/>
              <w:color w:val="203165"/>
              <w:sz w:val="16"/>
              <w:szCs w:val="16"/>
            </w:rPr>
            <w:t>00184 Roma</w:t>
          </w:r>
        </w:p>
        <w:p w14:paraId="6A6F93D5" w14:textId="77777777" w:rsidR="00E64E0C" w:rsidRPr="00D05438" w:rsidRDefault="00E64E0C" w:rsidP="00E64E0C">
          <w:pPr>
            <w:pStyle w:val="Pidipagina"/>
            <w:ind w:left="-85"/>
            <w:rPr>
              <w:rFonts w:ascii="Arial" w:hAnsi="Arial" w:cs="Arial"/>
              <w:color w:val="203165"/>
              <w:sz w:val="16"/>
              <w:szCs w:val="16"/>
            </w:rPr>
          </w:pPr>
          <w:r w:rsidRPr="002A6D68">
            <w:rPr>
              <w:rFonts w:ascii="Arial" w:hAnsi="Arial" w:cs="Arial"/>
              <w:color w:val="203165"/>
              <w:sz w:val="16"/>
              <w:szCs w:val="16"/>
            </w:rPr>
            <w:t>T</w:t>
          </w:r>
          <w:r>
            <w:rPr>
              <w:rFonts w:ascii="Arial" w:hAnsi="Arial" w:cs="Arial"/>
              <w:color w:val="203165"/>
              <w:sz w:val="16"/>
              <w:szCs w:val="16"/>
            </w:rPr>
            <w:t>el:</w:t>
          </w:r>
          <w:r w:rsidRPr="00D05438">
            <w:rPr>
              <w:rFonts w:ascii="Arial" w:hAnsi="Arial" w:cs="Arial"/>
              <w:color w:val="203165"/>
              <w:sz w:val="16"/>
              <w:szCs w:val="16"/>
            </w:rPr>
            <w:t xml:space="preserve"> +39 06 48777001</w:t>
          </w:r>
        </w:p>
      </w:tc>
      <w:tc>
        <w:tcPr>
          <w:tcW w:w="1984" w:type="dxa"/>
        </w:tcPr>
        <w:p w14:paraId="5587531B" w14:textId="77777777" w:rsidR="00E64E0C" w:rsidRPr="00D05438" w:rsidRDefault="00E64E0C" w:rsidP="00E64E0C">
          <w:pPr>
            <w:pStyle w:val="Pidipagina"/>
            <w:ind w:left="-85"/>
            <w:rPr>
              <w:rFonts w:ascii="Arial" w:hAnsi="Arial" w:cs="Arial"/>
              <w:b/>
              <w:bCs/>
              <w:color w:val="203165"/>
              <w:kern w:val="0"/>
              <w:sz w:val="16"/>
              <w:szCs w:val="16"/>
            </w:rPr>
          </w:pPr>
          <w:r w:rsidRPr="00D05438">
            <w:rPr>
              <w:rFonts w:ascii="Arial" w:hAnsi="Arial" w:cs="Arial"/>
              <w:b/>
              <w:bCs/>
              <w:color w:val="203165"/>
              <w:kern w:val="0"/>
              <w:sz w:val="16"/>
              <w:szCs w:val="16"/>
            </w:rPr>
            <w:t xml:space="preserve">Sede </w:t>
          </w:r>
          <w:r>
            <w:rPr>
              <w:rFonts w:ascii="Arial" w:hAnsi="Arial" w:cs="Arial"/>
              <w:b/>
              <w:bCs/>
              <w:color w:val="203165"/>
              <w:kern w:val="0"/>
              <w:sz w:val="16"/>
              <w:szCs w:val="16"/>
            </w:rPr>
            <w:t>Secondaria</w:t>
          </w:r>
        </w:p>
        <w:p w14:paraId="438C0EE5" w14:textId="77777777" w:rsidR="00E64E0C" w:rsidRPr="002A6D68" w:rsidRDefault="00E64E0C" w:rsidP="00E64E0C">
          <w:pPr>
            <w:pStyle w:val="Pidipagina"/>
            <w:ind w:left="-85"/>
            <w:rPr>
              <w:rFonts w:ascii="Arial" w:hAnsi="Arial" w:cs="Arial"/>
              <w:color w:val="203165"/>
              <w:kern w:val="0"/>
              <w:sz w:val="16"/>
              <w:szCs w:val="16"/>
            </w:rPr>
          </w:pPr>
          <w:r w:rsidRPr="00D05438">
            <w:rPr>
              <w:rFonts w:ascii="Arial" w:hAnsi="Arial" w:cs="Arial"/>
              <w:color w:val="203165"/>
              <w:kern w:val="0"/>
              <w:sz w:val="16"/>
              <w:szCs w:val="16"/>
            </w:rPr>
            <w:t xml:space="preserve">Via </w:t>
          </w:r>
          <w:r>
            <w:rPr>
              <w:rFonts w:ascii="Arial" w:hAnsi="Arial" w:cs="Arial"/>
              <w:color w:val="203165"/>
              <w:kern w:val="0"/>
              <w:sz w:val="16"/>
              <w:szCs w:val="16"/>
            </w:rPr>
            <w:t xml:space="preserve">M. </w:t>
          </w:r>
          <w:r w:rsidRPr="00226A7F">
            <w:rPr>
              <w:rFonts w:ascii="Arial" w:hAnsi="Arial" w:cs="Arial"/>
              <w:color w:val="203165"/>
              <w:kern w:val="0"/>
              <w:sz w:val="16"/>
              <w:szCs w:val="16"/>
            </w:rPr>
            <w:t>Cervantes</w:t>
          </w:r>
          <w:r>
            <w:rPr>
              <w:rFonts w:ascii="Arial" w:hAnsi="Arial" w:cs="Arial"/>
              <w:color w:val="203165"/>
              <w:kern w:val="0"/>
              <w:sz w:val="16"/>
              <w:szCs w:val="16"/>
            </w:rPr>
            <w:br/>
          </w:r>
          <w:r w:rsidRPr="00226A7F">
            <w:rPr>
              <w:rFonts w:ascii="Arial" w:hAnsi="Arial" w:cs="Arial"/>
              <w:color w:val="203165"/>
              <w:kern w:val="0"/>
              <w:sz w:val="16"/>
              <w:szCs w:val="16"/>
            </w:rPr>
            <w:t>de Saavedra</w:t>
          </w:r>
          <w:r w:rsidRPr="00D05438">
            <w:rPr>
              <w:rFonts w:ascii="Arial" w:hAnsi="Arial" w:cs="Arial"/>
              <w:color w:val="203165"/>
              <w:kern w:val="0"/>
              <w:sz w:val="16"/>
              <w:szCs w:val="16"/>
            </w:rPr>
            <w:t>, 5</w:t>
          </w:r>
          <w:r>
            <w:rPr>
              <w:rFonts w:ascii="Arial" w:hAnsi="Arial" w:cs="Arial"/>
              <w:color w:val="203165"/>
              <w:kern w:val="0"/>
              <w:sz w:val="16"/>
              <w:szCs w:val="16"/>
            </w:rPr>
            <w:t>5/5</w:t>
          </w:r>
          <w:r>
            <w:rPr>
              <w:rFonts w:ascii="Arial" w:hAnsi="Arial" w:cs="Arial"/>
              <w:color w:val="203165"/>
              <w:kern w:val="0"/>
              <w:sz w:val="16"/>
              <w:szCs w:val="16"/>
            </w:rPr>
            <w:br/>
          </w:r>
          <w:r w:rsidRPr="00D05438">
            <w:rPr>
              <w:rFonts w:ascii="Arial" w:hAnsi="Arial" w:cs="Arial"/>
              <w:color w:val="203165"/>
              <w:kern w:val="0"/>
              <w:sz w:val="16"/>
              <w:szCs w:val="16"/>
            </w:rPr>
            <w:t>80133 Napoli</w:t>
          </w:r>
        </w:p>
      </w:tc>
      <w:tc>
        <w:tcPr>
          <w:tcW w:w="2126" w:type="dxa"/>
        </w:tcPr>
        <w:p w14:paraId="6F244A18" w14:textId="77777777" w:rsidR="00E64E0C" w:rsidRPr="00D05438" w:rsidRDefault="00E64E0C" w:rsidP="00E64E0C">
          <w:pPr>
            <w:pStyle w:val="Pidipagina"/>
            <w:ind w:left="-85"/>
            <w:rPr>
              <w:rFonts w:ascii="Arial" w:hAnsi="Arial" w:cs="Arial"/>
              <w:b/>
              <w:bCs/>
              <w:color w:val="203165"/>
              <w:kern w:val="0"/>
              <w:sz w:val="16"/>
              <w:szCs w:val="16"/>
            </w:rPr>
          </w:pPr>
          <w:r w:rsidRPr="00D05438">
            <w:rPr>
              <w:rFonts w:ascii="Arial" w:hAnsi="Arial" w:cs="Arial"/>
              <w:b/>
              <w:bCs/>
              <w:color w:val="203165"/>
              <w:kern w:val="0"/>
              <w:sz w:val="16"/>
              <w:szCs w:val="16"/>
            </w:rPr>
            <w:t>Contatti</w:t>
          </w:r>
        </w:p>
        <w:p w14:paraId="5E3B71EE" w14:textId="77777777" w:rsidR="00E64E0C" w:rsidRPr="00D05438" w:rsidRDefault="00E64E0C" w:rsidP="00E64E0C">
          <w:pPr>
            <w:pStyle w:val="Pidipagina"/>
            <w:ind w:left="-85"/>
            <w:rPr>
              <w:rFonts w:ascii="Arial" w:hAnsi="Arial" w:cs="Arial"/>
              <w:color w:val="203165"/>
              <w:sz w:val="16"/>
              <w:szCs w:val="16"/>
            </w:rPr>
          </w:pPr>
          <w:r w:rsidRPr="00D05438">
            <w:rPr>
              <w:rFonts w:ascii="Arial" w:hAnsi="Arial" w:cs="Arial"/>
              <w:color w:val="203165"/>
              <w:sz w:val="16"/>
              <w:szCs w:val="16"/>
            </w:rPr>
            <w:t>www.ales-spa.com</w:t>
          </w:r>
        </w:p>
        <w:p w14:paraId="298E9100" w14:textId="77777777" w:rsidR="00E64E0C" w:rsidRPr="00D05438" w:rsidRDefault="00E64E0C" w:rsidP="00E64E0C">
          <w:pPr>
            <w:pStyle w:val="Pidipagina"/>
            <w:ind w:left="-85"/>
            <w:rPr>
              <w:rFonts w:ascii="Arial" w:hAnsi="Arial" w:cs="Arial"/>
              <w:color w:val="203165"/>
              <w:sz w:val="16"/>
              <w:szCs w:val="16"/>
            </w:rPr>
          </w:pPr>
          <w:r w:rsidRPr="00D05438">
            <w:rPr>
              <w:rFonts w:ascii="Arial" w:hAnsi="Arial" w:cs="Arial"/>
              <w:color w:val="203165"/>
              <w:sz w:val="16"/>
              <w:szCs w:val="16"/>
            </w:rPr>
            <w:t>E-mail: info@ales-spa.it</w:t>
          </w:r>
        </w:p>
        <w:p w14:paraId="5D5D8929" w14:textId="77777777" w:rsidR="00E64E0C" w:rsidRPr="00B112A5" w:rsidRDefault="00E64E0C" w:rsidP="00E64E0C">
          <w:pPr>
            <w:pStyle w:val="Pidipagina"/>
            <w:ind w:left="-85"/>
            <w:rPr>
              <w:rFonts w:ascii="Arial" w:hAnsi="Arial" w:cs="Arial"/>
              <w:color w:val="203165"/>
              <w:sz w:val="16"/>
              <w:szCs w:val="16"/>
              <w:lang w:val="fr-FR"/>
            </w:rPr>
          </w:pPr>
          <w:r w:rsidRPr="00B112A5">
            <w:rPr>
              <w:rFonts w:ascii="Arial" w:hAnsi="Arial" w:cs="Arial"/>
              <w:color w:val="203165"/>
              <w:sz w:val="16"/>
              <w:szCs w:val="16"/>
              <w:lang w:val="fr-FR"/>
            </w:rPr>
            <w:t>PEC: infoales-spa@pec.it</w:t>
          </w:r>
        </w:p>
      </w:tc>
      <w:tc>
        <w:tcPr>
          <w:tcW w:w="1985" w:type="dxa"/>
        </w:tcPr>
        <w:p w14:paraId="6863D3C4" w14:textId="77777777" w:rsidR="00E64E0C" w:rsidRPr="00D05438" w:rsidRDefault="00E64E0C" w:rsidP="00E64E0C">
          <w:pPr>
            <w:pStyle w:val="Pidipagina"/>
            <w:ind w:left="-85"/>
            <w:rPr>
              <w:rFonts w:ascii="Arial" w:hAnsi="Arial" w:cs="Arial"/>
              <w:b/>
              <w:bCs/>
              <w:color w:val="203165"/>
              <w:kern w:val="0"/>
              <w:sz w:val="16"/>
              <w:szCs w:val="16"/>
            </w:rPr>
          </w:pPr>
          <w:r w:rsidRPr="00D05438">
            <w:rPr>
              <w:rFonts w:ascii="Arial" w:hAnsi="Arial" w:cs="Arial"/>
              <w:b/>
              <w:bCs/>
              <w:color w:val="203165"/>
              <w:kern w:val="0"/>
              <w:sz w:val="16"/>
              <w:szCs w:val="16"/>
            </w:rPr>
            <w:t>Scuderie del Quirinale</w:t>
          </w:r>
        </w:p>
        <w:p w14:paraId="58BFF94B" w14:textId="77777777" w:rsidR="00E64E0C" w:rsidRPr="00D05438" w:rsidRDefault="00E64E0C" w:rsidP="00E64E0C">
          <w:pPr>
            <w:pStyle w:val="Pidipagina"/>
            <w:ind w:left="-85"/>
            <w:rPr>
              <w:rFonts w:ascii="Arial" w:hAnsi="Arial" w:cs="Arial"/>
              <w:color w:val="203165"/>
              <w:kern w:val="0"/>
              <w:sz w:val="16"/>
              <w:szCs w:val="16"/>
            </w:rPr>
          </w:pPr>
          <w:r w:rsidRPr="00D05438">
            <w:rPr>
              <w:rFonts w:ascii="Arial" w:hAnsi="Arial" w:cs="Arial"/>
              <w:color w:val="203165"/>
              <w:kern w:val="0"/>
              <w:sz w:val="16"/>
              <w:szCs w:val="16"/>
            </w:rPr>
            <w:t>Salita di Montecavallo</w:t>
          </w:r>
          <w:r>
            <w:rPr>
              <w:rFonts w:ascii="Arial" w:hAnsi="Arial" w:cs="Arial"/>
              <w:color w:val="203165"/>
              <w:kern w:val="0"/>
              <w:sz w:val="16"/>
              <w:szCs w:val="16"/>
            </w:rPr>
            <w:t>,</w:t>
          </w:r>
          <w:r w:rsidRPr="00D05438">
            <w:rPr>
              <w:rFonts w:ascii="Arial" w:hAnsi="Arial" w:cs="Arial"/>
              <w:color w:val="203165"/>
              <w:kern w:val="0"/>
              <w:sz w:val="16"/>
              <w:szCs w:val="16"/>
            </w:rPr>
            <w:t xml:space="preserve"> 12 </w:t>
          </w:r>
        </w:p>
        <w:p w14:paraId="57CB8C16" w14:textId="77777777" w:rsidR="00E64E0C" w:rsidRPr="00D05438" w:rsidRDefault="00E64E0C" w:rsidP="00E64E0C">
          <w:pPr>
            <w:pStyle w:val="Pidipagina"/>
            <w:ind w:left="-85"/>
            <w:rPr>
              <w:rFonts w:ascii="Arial" w:hAnsi="Arial" w:cs="Arial"/>
              <w:color w:val="203165"/>
              <w:kern w:val="0"/>
              <w:sz w:val="16"/>
              <w:szCs w:val="16"/>
            </w:rPr>
          </w:pPr>
          <w:r w:rsidRPr="00D05438">
            <w:rPr>
              <w:rFonts w:ascii="Arial" w:hAnsi="Arial" w:cs="Arial"/>
              <w:color w:val="203165"/>
              <w:kern w:val="0"/>
              <w:sz w:val="16"/>
              <w:szCs w:val="16"/>
            </w:rPr>
            <w:t xml:space="preserve">00187 Roma </w:t>
          </w:r>
        </w:p>
        <w:p w14:paraId="36C9F9AA" w14:textId="77777777" w:rsidR="00E64E0C" w:rsidRPr="00D05438" w:rsidRDefault="00E64E0C" w:rsidP="00E64E0C">
          <w:pPr>
            <w:pStyle w:val="Pidipagina"/>
            <w:ind w:left="-85"/>
            <w:rPr>
              <w:rFonts w:ascii="Arial" w:hAnsi="Arial" w:cs="Arial"/>
              <w:color w:val="203165"/>
              <w:kern w:val="0"/>
              <w:sz w:val="16"/>
              <w:szCs w:val="16"/>
            </w:rPr>
          </w:pPr>
          <w:r w:rsidRPr="00D05438">
            <w:rPr>
              <w:rFonts w:ascii="Arial" w:hAnsi="Arial" w:cs="Arial"/>
              <w:color w:val="203165"/>
              <w:kern w:val="0"/>
              <w:sz w:val="16"/>
              <w:szCs w:val="16"/>
            </w:rPr>
            <w:t>T</w:t>
          </w:r>
          <w:r>
            <w:rPr>
              <w:rFonts w:ascii="Arial" w:hAnsi="Arial" w:cs="Arial"/>
              <w:color w:val="203165"/>
              <w:kern w:val="0"/>
              <w:sz w:val="16"/>
              <w:szCs w:val="16"/>
            </w:rPr>
            <w:t>el:</w:t>
          </w:r>
          <w:r w:rsidRPr="00D05438">
            <w:rPr>
              <w:rFonts w:ascii="Arial" w:hAnsi="Arial" w:cs="Arial"/>
              <w:color w:val="203165"/>
              <w:kern w:val="0"/>
              <w:sz w:val="16"/>
              <w:szCs w:val="16"/>
            </w:rPr>
            <w:t xml:space="preserve"> +39 06</w:t>
          </w:r>
          <w:r>
            <w:rPr>
              <w:rFonts w:ascii="Arial" w:hAnsi="Arial" w:cs="Arial"/>
              <w:color w:val="203165"/>
              <w:kern w:val="0"/>
              <w:sz w:val="16"/>
              <w:szCs w:val="16"/>
            </w:rPr>
            <w:t xml:space="preserve"> </w:t>
          </w:r>
          <w:r w:rsidRPr="00D05438">
            <w:rPr>
              <w:rFonts w:ascii="Arial" w:hAnsi="Arial" w:cs="Arial"/>
              <w:color w:val="203165"/>
              <w:kern w:val="0"/>
              <w:sz w:val="16"/>
              <w:szCs w:val="16"/>
            </w:rPr>
            <w:t>692042</w:t>
          </w:r>
        </w:p>
      </w:tc>
    </w:tr>
  </w:tbl>
  <w:p w14:paraId="3F09E72E" w14:textId="77777777" w:rsidR="00E64E0C" w:rsidRDefault="00E64E0C" w:rsidP="00E64E0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003277" w14:textId="77777777" w:rsidR="008123AF" w:rsidRDefault="008123AF" w:rsidP="00037296">
      <w:r>
        <w:separator/>
      </w:r>
    </w:p>
  </w:footnote>
  <w:footnote w:type="continuationSeparator" w:id="0">
    <w:p w14:paraId="11666593" w14:textId="77777777" w:rsidR="008123AF" w:rsidRDefault="008123AF" w:rsidP="00037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C0ED8" w14:textId="6DB5408E" w:rsidR="00C10BD9" w:rsidRDefault="00AD2C87" w:rsidP="00D423CF">
    <w:pPr>
      <w:pStyle w:val="Intestazione"/>
      <w:rPr>
        <w:rFonts w:ascii="Arial" w:hAnsi="Arial" w:cs="Arial"/>
      </w:rPr>
    </w:pPr>
    <w:r>
      <w:rPr>
        <w:rFonts w:ascii="Arial" w:hAnsi="Arial" w:cs="Arial"/>
        <w:noProof/>
      </w:rPr>
      <w:drawing>
        <wp:inline distT="0" distB="0" distL="0" distR="0" wp14:anchorId="5D7A71D5" wp14:editId="3D6DE819">
          <wp:extent cx="2245894" cy="646545"/>
          <wp:effectExtent l="0" t="0" r="2540" b="0"/>
          <wp:docPr id="1568595921" name="Elemento gra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15891" name="Elemento grafico 2013615891"/>
                  <pic:cNvPicPr/>
                </pic:nvPicPr>
                <pic:blipFill>
                  <a:blip r:embed="rId1">
                    <a:extLst>
                      <a:ext uri="{96DAC541-7B7A-43D3-8B79-37D633B846F1}">
                        <asvg:svgBlip xmlns:asvg="http://schemas.microsoft.com/office/drawing/2016/SVG/main" r:embed="rId2"/>
                      </a:ext>
                    </a:extLst>
                  </a:blip>
                  <a:stretch>
                    <a:fillRect/>
                  </a:stretch>
                </pic:blipFill>
                <pic:spPr>
                  <a:xfrm>
                    <a:off x="0" y="0"/>
                    <a:ext cx="2339911" cy="673611"/>
                  </a:xfrm>
                  <a:prstGeom prst="rect">
                    <a:avLst/>
                  </a:prstGeom>
                </pic:spPr>
              </pic:pic>
            </a:graphicData>
          </a:graphic>
        </wp:inline>
      </w:drawing>
    </w:r>
  </w:p>
  <w:p w14:paraId="67F95B6F" w14:textId="77777777" w:rsidR="00AD2C87" w:rsidRPr="00495E74" w:rsidRDefault="00AD2C87" w:rsidP="00D423CF">
    <w:pPr>
      <w:pStyle w:val="Intestazione"/>
      <w:rPr>
        <w:rFonts w:ascii="Arial" w:hAnsi="Arial" w:cs="Arial"/>
      </w:rPr>
    </w:pPr>
  </w:p>
  <w:p w14:paraId="3D44A52B" w14:textId="77777777" w:rsidR="00C10BD9" w:rsidRPr="00495E74" w:rsidRDefault="00C10BD9" w:rsidP="00D423CF">
    <w:pPr>
      <w:pStyle w:val="Intestazione"/>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1B657" w14:textId="4065BB7C" w:rsidR="00E64E0C" w:rsidRPr="00495E74" w:rsidRDefault="00AD2C87" w:rsidP="00E64E0C">
    <w:pPr>
      <w:pStyle w:val="Intestazione"/>
      <w:rPr>
        <w:rFonts w:ascii="Arial" w:hAnsi="Arial" w:cs="Arial"/>
      </w:rPr>
    </w:pPr>
    <w:r>
      <w:rPr>
        <w:rFonts w:ascii="Arial" w:hAnsi="Arial" w:cs="Arial"/>
        <w:noProof/>
      </w:rPr>
      <w:drawing>
        <wp:inline distT="0" distB="0" distL="0" distR="0" wp14:anchorId="19D649F5" wp14:editId="4CE00189">
          <wp:extent cx="2245894" cy="646545"/>
          <wp:effectExtent l="0" t="0" r="2540" b="0"/>
          <wp:docPr id="2013615891" name="Elemento gra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15891" name="Elemento grafico 2013615891"/>
                  <pic:cNvPicPr/>
                </pic:nvPicPr>
                <pic:blipFill>
                  <a:blip r:embed="rId1">
                    <a:extLst>
                      <a:ext uri="{96DAC541-7B7A-43D3-8B79-37D633B846F1}">
                        <asvg:svgBlip xmlns:asvg="http://schemas.microsoft.com/office/drawing/2016/SVG/main" r:embed="rId2"/>
                      </a:ext>
                    </a:extLst>
                  </a:blip>
                  <a:stretch>
                    <a:fillRect/>
                  </a:stretch>
                </pic:blipFill>
                <pic:spPr>
                  <a:xfrm>
                    <a:off x="0" y="0"/>
                    <a:ext cx="2339911" cy="673611"/>
                  </a:xfrm>
                  <a:prstGeom prst="rect">
                    <a:avLst/>
                  </a:prstGeom>
                </pic:spPr>
              </pic:pic>
            </a:graphicData>
          </a:graphic>
        </wp:inline>
      </w:drawing>
    </w:r>
  </w:p>
  <w:p w14:paraId="7771E6C5" w14:textId="77777777" w:rsidR="00E64E0C" w:rsidRDefault="00E64E0C">
    <w:pPr>
      <w:pStyle w:val="Intestazione"/>
    </w:pPr>
  </w:p>
  <w:p w14:paraId="2569FA54" w14:textId="77777777" w:rsidR="00AD2C87" w:rsidRDefault="00AD2C87">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96"/>
    <w:rsid w:val="00001C76"/>
    <w:rsid w:val="00034CE0"/>
    <w:rsid w:val="00037296"/>
    <w:rsid w:val="000F32B6"/>
    <w:rsid w:val="00114F5F"/>
    <w:rsid w:val="00152961"/>
    <w:rsid w:val="001C1E67"/>
    <w:rsid w:val="002244A4"/>
    <w:rsid w:val="00226A7F"/>
    <w:rsid w:val="00236F98"/>
    <w:rsid w:val="00246D9F"/>
    <w:rsid w:val="00272CC1"/>
    <w:rsid w:val="002A0C95"/>
    <w:rsid w:val="002A6D68"/>
    <w:rsid w:val="002C78C8"/>
    <w:rsid w:val="002D4791"/>
    <w:rsid w:val="002E4E52"/>
    <w:rsid w:val="0039061C"/>
    <w:rsid w:val="003B1B29"/>
    <w:rsid w:val="003C0115"/>
    <w:rsid w:val="003D685B"/>
    <w:rsid w:val="003E76CC"/>
    <w:rsid w:val="003E7E34"/>
    <w:rsid w:val="00495E74"/>
    <w:rsid w:val="004A06FC"/>
    <w:rsid w:val="005534B9"/>
    <w:rsid w:val="0055354C"/>
    <w:rsid w:val="005B1B24"/>
    <w:rsid w:val="005D08DF"/>
    <w:rsid w:val="00603FEF"/>
    <w:rsid w:val="00645F29"/>
    <w:rsid w:val="00650D7F"/>
    <w:rsid w:val="00683436"/>
    <w:rsid w:val="006E2A2E"/>
    <w:rsid w:val="00792BDD"/>
    <w:rsid w:val="007A10F7"/>
    <w:rsid w:val="00801C5F"/>
    <w:rsid w:val="008123AF"/>
    <w:rsid w:val="008172E5"/>
    <w:rsid w:val="00851629"/>
    <w:rsid w:val="008679AE"/>
    <w:rsid w:val="008B6D6E"/>
    <w:rsid w:val="008E42BA"/>
    <w:rsid w:val="009012D6"/>
    <w:rsid w:val="00906A08"/>
    <w:rsid w:val="00945D16"/>
    <w:rsid w:val="00975413"/>
    <w:rsid w:val="0099296E"/>
    <w:rsid w:val="009B1301"/>
    <w:rsid w:val="009E3613"/>
    <w:rsid w:val="009E6FE3"/>
    <w:rsid w:val="00A13B88"/>
    <w:rsid w:val="00A37CE8"/>
    <w:rsid w:val="00AA2D95"/>
    <w:rsid w:val="00AB7103"/>
    <w:rsid w:val="00AD2C87"/>
    <w:rsid w:val="00AF3FFC"/>
    <w:rsid w:val="00B028A3"/>
    <w:rsid w:val="00B112A5"/>
    <w:rsid w:val="00B11BC5"/>
    <w:rsid w:val="00B15B96"/>
    <w:rsid w:val="00B20148"/>
    <w:rsid w:val="00B2714F"/>
    <w:rsid w:val="00B457D2"/>
    <w:rsid w:val="00B53AEF"/>
    <w:rsid w:val="00B56647"/>
    <w:rsid w:val="00B832F3"/>
    <w:rsid w:val="00BF5360"/>
    <w:rsid w:val="00C10BD9"/>
    <w:rsid w:val="00C1228F"/>
    <w:rsid w:val="00C34CC7"/>
    <w:rsid w:val="00C5540C"/>
    <w:rsid w:val="00C61D10"/>
    <w:rsid w:val="00C81C9C"/>
    <w:rsid w:val="00C93DCF"/>
    <w:rsid w:val="00D37BFF"/>
    <w:rsid w:val="00D423CF"/>
    <w:rsid w:val="00DA759D"/>
    <w:rsid w:val="00DD3040"/>
    <w:rsid w:val="00DE3C0A"/>
    <w:rsid w:val="00E147F1"/>
    <w:rsid w:val="00E52724"/>
    <w:rsid w:val="00E64E0C"/>
    <w:rsid w:val="00E90D70"/>
    <w:rsid w:val="00F11344"/>
    <w:rsid w:val="00F15680"/>
    <w:rsid w:val="00F1661F"/>
    <w:rsid w:val="00F74265"/>
    <w:rsid w:val="00F97FD6"/>
    <w:rsid w:val="00FD56AC"/>
    <w:rsid w:val="00FE74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07A4AE"/>
  <w15:chartTrackingRefBased/>
  <w15:docId w15:val="{485CB7B9-6B53-ED40-AD18-8478A944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372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37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3729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3729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3729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3729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3729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3729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3729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3729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3729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3729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3729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3729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3729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3729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3729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37296"/>
    <w:rPr>
      <w:rFonts w:eastAsiaTheme="majorEastAsia" w:cstheme="majorBidi"/>
      <w:color w:val="272727" w:themeColor="text1" w:themeTint="D8"/>
    </w:rPr>
  </w:style>
  <w:style w:type="paragraph" w:styleId="Titolo">
    <w:name w:val="Title"/>
    <w:basedOn w:val="Normale"/>
    <w:next w:val="Normale"/>
    <w:link w:val="TitoloCarattere"/>
    <w:uiPriority w:val="10"/>
    <w:qFormat/>
    <w:rsid w:val="0003729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3729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3729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3729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3729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37296"/>
    <w:rPr>
      <w:i/>
      <w:iCs/>
      <w:color w:val="404040" w:themeColor="text1" w:themeTint="BF"/>
    </w:rPr>
  </w:style>
  <w:style w:type="paragraph" w:styleId="Paragrafoelenco">
    <w:name w:val="List Paragraph"/>
    <w:basedOn w:val="Normale"/>
    <w:uiPriority w:val="34"/>
    <w:qFormat/>
    <w:rsid w:val="00037296"/>
    <w:pPr>
      <w:ind w:left="720"/>
      <w:contextualSpacing/>
    </w:pPr>
  </w:style>
  <w:style w:type="character" w:styleId="Enfasiintensa">
    <w:name w:val="Intense Emphasis"/>
    <w:basedOn w:val="Carpredefinitoparagrafo"/>
    <w:uiPriority w:val="21"/>
    <w:qFormat/>
    <w:rsid w:val="00037296"/>
    <w:rPr>
      <w:i/>
      <w:iCs/>
      <w:color w:val="0F4761" w:themeColor="accent1" w:themeShade="BF"/>
    </w:rPr>
  </w:style>
  <w:style w:type="paragraph" w:styleId="Citazioneintensa">
    <w:name w:val="Intense Quote"/>
    <w:basedOn w:val="Normale"/>
    <w:next w:val="Normale"/>
    <w:link w:val="CitazioneintensaCarattere"/>
    <w:uiPriority w:val="30"/>
    <w:qFormat/>
    <w:rsid w:val="00037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37296"/>
    <w:rPr>
      <w:i/>
      <w:iCs/>
      <w:color w:val="0F4761" w:themeColor="accent1" w:themeShade="BF"/>
    </w:rPr>
  </w:style>
  <w:style w:type="character" w:styleId="Riferimentointenso">
    <w:name w:val="Intense Reference"/>
    <w:basedOn w:val="Carpredefinitoparagrafo"/>
    <w:uiPriority w:val="32"/>
    <w:qFormat/>
    <w:rsid w:val="00037296"/>
    <w:rPr>
      <w:b/>
      <w:bCs/>
      <w:smallCaps/>
      <w:color w:val="0F4761" w:themeColor="accent1" w:themeShade="BF"/>
      <w:spacing w:val="5"/>
    </w:rPr>
  </w:style>
  <w:style w:type="paragraph" w:styleId="Intestazione">
    <w:name w:val="header"/>
    <w:basedOn w:val="Normale"/>
    <w:link w:val="IntestazioneCarattere"/>
    <w:uiPriority w:val="99"/>
    <w:unhideWhenUsed/>
    <w:rsid w:val="00037296"/>
    <w:pPr>
      <w:tabs>
        <w:tab w:val="center" w:pos="4819"/>
        <w:tab w:val="right" w:pos="9638"/>
      </w:tabs>
    </w:pPr>
  </w:style>
  <w:style w:type="character" w:customStyle="1" w:styleId="IntestazioneCarattere">
    <w:name w:val="Intestazione Carattere"/>
    <w:basedOn w:val="Carpredefinitoparagrafo"/>
    <w:link w:val="Intestazione"/>
    <w:uiPriority w:val="99"/>
    <w:rsid w:val="00037296"/>
  </w:style>
  <w:style w:type="paragraph" w:styleId="Pidipagina">
    <w:name w:val="footer"/>
    <w:basedOn w:val="Normale"/>
    <w:link w:val="PidipaginaCarattere"/>
    <w:uiPriority w:val="99"/>
    <w:unhideWhenUsed/>
    <w:rsid w:val="00037296"/>
    <w:pPr>
      <w:tabs>
        <w:tab w:val="center" w:pos="4819"/>
        <w:tab w:val="right" w:pos="9638"/>
      </w:tabs>
    </w:pPr>
  </w:style>
  <w:style w:type="character" w:customStyle="1" w:styleId="PidipaginaCarattere">
    <w:name w:val="Piè di pagina Carattere"/>
    <w:basedOn w:val="Carpredefinitoparagrafo"/>
    <w:link w:val="Pidipagina"/>
    <w:uiPriority w:val="99"/>
    <w:rsid w:val="00037296"/>
  </w:style>
  <w:style w:type="character" w:styleId="Collegamentoipertestuale">
    <w:name w:val="Hyperlink"/>
    <w:basedOn w:val="Carpredefinitoparagrafo"/>
    <w:uiPriority w:val="99"/>
    <w:unhideWhenUsed/>
    <w:rsid w:val="00D423CF"/>
    <w:rPr>
      <w:color w:val="467886" w:themeColor="hyperlink"/>
      <w:u w:val="single"/>
    </w:rPr>
  </w:style>
  <w:style w:type="character" w:styleId="Menzionenonrisolta">
    <w:name w:val="Unresolved Mention"/>
    <w:basedOn w:val="Carpredefinitoparagrafo"/>
    <w:uiPriority w:val="99"/>
    <w:semiHidden/>
    <w:unhideWhenUsed/>
    <w:rsid w:val="00D423CF"/>
    <w:rPr>
      <w:color w:val="605E5C"/>
      <w:shd w:val="clear" w:color="auto" w:fill="E1DFDD"/>
    </w:rPr>
  </w:style>
  <w:style w:type="table" w:styleId="Grigliatabella">
    <w:name w:val="Table Grid"/>
    <w:basedOn w:val="Tabellanormale"/>
    <w:uiPriority w:val="39"/>
    <w:rsid w:val="002A0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unhideWhenUsed/>
    <w:rsid w:val="0015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tbonus.gov.it"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203165"/>
        </a:solidFill>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750</Words>
  <Characters>4275</Characters>
  <Application>Microsoft Office Word</Application>
  <DocSecurity>0</DocSecurity>
  <Lines>35</Lines>
  <Paragraphs>10</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Ales alla Borsa Mediterranea del Turismo Archeologico di Paestum</vt: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Zalambani</dc:creator>
  <cp:keywords/>
  <dc:description/>
  <cp:lastModifiedBy>Lucia Steri</cp:lastModifiedBy>
  <cp:revision>4</cp:revision>
  <cp:lastPrinted>2026-03-26T12:11:00Z</cp:lastPrinted>
  <dcterms:created xsi:type="dcterms:W3CDTF">2026-09-24T10:40:00Z</dcterms:created>
  <dcterms:modified xsi:type="dcterms:W3CDTF">2026-09-25T10:27:00Z</dcterms:modified>
</cp:coreProperties>
</file>