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9B733A" w14:textId="77777777" w:rsidR="00CA4508" w:rsidRPr="00CA4508" w:rsidRDefault="00CA4508" w:rsidP="001213A1">
      <w:pPr>
        <w:spacing w:after="0" w:line="276" w:lineRule="auto"/>
        <w:jc w:val="center"/>
        <w:outlineLvl w:val="2"/>
        <w:rPr>
          <w:rFonts w:ascii="Times New Roman" w:eastAsia="Times New Roman" w:hAnsi="Times New Roman" w:cs="Times New Roman"/>
          <w:b/>
          <w:bCs/>
          <w:sz w:val="28"/>
          <w:szCs w:val="28"/>
          <w:lang w:eastAsia="it-IT"/>
        </w:rPr>
      </w:pPr>
      <w:r w:rsidRPr="00CA4508">
        <w:rPr>
          <w:rFonts w:ascii="Times New Roman" w:eastAsia="Times New Roman" w:hAnsi="Times New Roman" w:cs="Times New Roman"/>
          <w:b/>
          <w:bCs/>
          <w:sz w:val="28"/>
          <w:szCs w:val="28"/>
          <w:lang w:eastAsia="it-IT"/>
        </w:rPr>
        <w:t>Il Parco Archeologico di Cerveteri e Tarquinia unisce le due città cuore della civiltà etrusca</w:t>
      </w:r>
    </w:p>
    <w:p w14:paraId="0BA076DA" w14:textId="77777777" w:rsidR="00CA4508" w:rsidRDefault="00CA4508" w:rsidP="00CA4508">
      <w:pPr>
        <w:spacing w:after="0" w:line="276" w:lineRule="auto"/>
        <w:jc w:val="both"/>
        <w:rPr>
          <w:rFonts w:ascii="Times New Roman" w:eastAsia="Times New Roman" w:hAnsi="Times New Roman" w:cs="Times New Roman"/>
          <w:sz w:val="24"/>
          <w:szCs w:val="24"/>
          <w:lang w:eastAsia="it-IT"/>
        </w:rPr>
      </w:pPr>
    </w:p>
    <w:p w14:paraId="25FC4990" w14:textId="77777777" w:rsidR="00CA4508" w:rsidRDefault="00CA4508" w:rsidP="00CA4508">
      <w:pPr>
        <w:spacing w:after="0" w:line="276" w:lineRule="auto"/>
        <w:jc w:val="both"/>
        <w:rPr>
          <w:rFonts w:ascii="Times New Roman" w:eastAsia="Times New Roman" w:hAnsi="Times New Roman" w:cs="Times New Roman"/>
          <w:sz w:val="24"/>
          <w:szCs w:val="24"/>
          <w:lang w:eastAsia="it-IT"/>
        </w:rPr>
      </w:pPr>
      <w:r w:rsidRPr="00CA4508">
        <w:rPr>
          <w:rFonts w:ascii="Times New Roman" w:eastAsia="Times New Roman" w:hAnsi="Times New Roman" w:cs="Times New Roman"/>
          <w:sz w:val="24"/>
          <w:szCs w:val="24"/>
          <w:lang w:eastAsia="it-IT"/>
        </w:rPr>
        <w:t xml:space="preserve">Il </w:t>
      </w:r>
      <w:r w:rsidRPr="00CA4508">
        <w:rPr>
          <w:rFonts w:ascii="Times New Roman" w:eastAsia="Times New Roman" w:hAnsi="Times New Roman" w:cs="Times New Roman"/>
          <w:b/>
          <w:bCs/>
          <w:sz w:val="24"/>
          <w:szCs w:val="24"/>
          <w:lang w:eastAsia="it-IT"/>
        </w:rPr>
        <w:t>Parco Archeologico di Cerveteri e Tarquinia</w:t>
      </w:r>
      <w:r w:rsidRPr="00CA4508">
        <w:rPr>
          <w:rFonts w:ascii="Times New Roman" w:eastAsia="Times New Roman" w:hAnsi="Times New Roman" w:cs="Times New Roman"/>
          <w:sz w:val="24"/>
          <w:szCs w:val="24"/>
          <w:lang w:eastAsia="it-IT"/>
        </w:rPr>
        <w:t xml:space="preserve"> comprende le </w:t>
      </w:r>
      <w:r w:rsidRPr="00CA4508">
        <w:rPr>
          <w:rFonts w:ascii="Times New Roman" w:eastAsia="Times New Roman" w:hAnsi="Times New Roman" w:cs="Times New Roman"/>
          <w:b/>
          <w:bCs/>
          <w:sz w:val="24"/>
          <w:szCs w:val="24"/>
          <w:lang w:eastAsia="it-IT"/>
        </w:rPr>
        <w:t xml:space="preserve">aree archeologiche di </w:t>
      </w:r>
      <w:r w:rsidRPr="00CA4508">
        <w:rPr>
          <w:rFonts w:ascii="Times New Roman" w:eastAsia="Times New Roman" w:hAnsi="Times New Roman" w:cs="Times New Roman"/>
          <w:b/>
          <w:bCs/>
          <w:sz w:val="24"/>
          <w:szCs w:val="24"/>
          <w:u w:val="single"/>
          <w:lang w:eastAsia="it-IT"/>
        </w:rPr>
        <w:t>Cerveteri</w:t>
      </w:r>
      <w:r w:rsidRPr="00CA4508">
        <w:rPr>
          <w:rFonts w:ascii="Times New Roman" w:eastAsia="Times New Roman" w:hAnsi="Times New Roman" w:cs="Times New Roman"/>
          <w:sz w:val="24"/>
          <w:szCs w:val="24"/>
          <w:lang w:eastAsia="it-IT"/>
        </w:rPr>
        <w:t xml:space="preserve"> (Necropoli della Banditaccia, Area dei Grandi Tumuli, Tombe del Comune, Grande Tumulo di Campo della Fiera, Necropoli del Laghetto, Via degli Inferi) e di </w:t>
      </w:r>
      <w:r w:rsidRPr="00CA4508">
        <w:rPr>
          <w:rFonts w:ascii="Times New Roman" w:eastAsia="Times New Roman" w:hAnsi="Times New Roman" w:cs="Times New Roman"/>
          <w:b/>
          <w:bCs/>
          <w:sz w:val="24"/>
          <w:szCs w:val="24"/>
          <w:u w:val="single"/>
          <w:lang w:eastAsia="it-IT"/>
        </w:rPr>
        <w:t>Tarquinia</w:t>
      </w:r>
      <w:r w:rsidRPr="00CA4508">
        <w:rPr>
          <w:rFonts w:ascii="Times New Roman" w:eastAsia="Times New Roman" w:hAnsi="Times New Roman" w:cs="Times New Roman"/>
          <w:b/>
          <w:bCs/>
          <w:sz w:val="24"/>
          <w:szCs w:val="24"/>
          <w:lang w:eastAsia="it-IT"/>
        </w:rPr>
        <w:t xml:space="preserve"> </w:t>
      </w:r>
      <w:r w:rsidRPr="00CA4508">
        <w:rPr>
          <w:rFonts w:ascii="Times New Roman" w:eastAsia="Times New Roman" w:hAnsi="Times New Roman" w:cs="Times New Roman"/>
          <w:sz w:val="24"/>
          <w:szCs w:val="24"/>
          <w:lang w:eastAsia="it-IT"/>
        </w:rPr>
        <w:t xml:space="preserve">(Necropoli dei </w:t>
      </w:r>
      <w:proofErr w:type="spellStart"/>
      <w:r w:rsidRPr="00CA4508">
        <w:rPr>
          <w:rFonts w:ascii="Times New Roman" w:eastAsia="Times New Roman" w:hAnsi="Times New Roman" w:cs="Times New Roman"/>
          <w:sz w:val="24"/>
          <w:szCs w:val="24"/>
          <w:lang w:eastAsia="it-IT"/>
        </w:rPr>
        <w:t>Monterozzi</w:t>
      </w:r>
      <w:proofErr w:type="spellEnd"/>
      <w:r w:rsidRPr="00CA4508">
        <w:rPr>
          <w:rFonts w:ascii="Times New Roman" w:eastAsia="Times New Roman" w:hAnsi="Times New Roman" w:cs="Times New Roman"/>
          <w:sz w:val="24"/>
          <w:szCs w:val="24"/>
          <w:lang w:eastAsia="it-IT"/>
        </w:rPr>
        <w:t xml:space="preserve">, Tomba degli Scudi, Tomba Francesca Giustiniani, Tomba del Barone, Tomba delle Pantere, Tomba Giglioli, Tomba dei Tori, Tomba degli Auguri, Tomba dell’Orco, Area </w:t>
      </w:r>
      <w:proofErr w:type="spellStart"/>
      <w:r w:rsidRPr="00CA4508">
        <w:rPr>
          <w:rFonts w:ascii="Times New Roman" w:eastAsia="Times New Roman" w:hAnsi="Times New Roman" w:cs="Times New Roman"/>
          <w:sz w:val="24"/>
          <w:szCs w:val="24"/>
          <w:lang w:eastAsia="it-IT"/>
        </w:rPr>
        <w:t>Scataglini</w:t>
      </w:r>
      <w:proofErr w:type="spellEnd"/>
      <w:r w:rsidRPr="00CA4508">
        <w:rPr>
          <w:rFonts w:ascii="Times New Roman" w:eastAsia="Times New Roman" w:hAnsi="Times New Roman" w:cs="Times New Roman"/>
          <w:sz w:val="24"/>
          <w:szCs w:val="24"/>
          <w:lang w:eastAsia="it-IT"/>
        </w:rPr>
        <w:t xml:space="preserve">, Tomba degli Anina), già inserite, nel 2004, nella prestigiosa lista del patrimonio mondiale dell’Umanità UNESCO; a queste si aggiungono due musei territoriali molto noti agli studiosi della civiltà etrusca e agli appassionati di archeologia: il </w:t>
      </w:r>
      <w:r w:rsidRPr="00CA4508">
        <w:rPr>
          <w:rFonts w:ascii="Times New Roman" w:eastAsia="Times New Roman" w:hAnsi="Times New Roman" w:cs="Times New Roman"/>
          <w:b/>
          <w:bCs/>
          <w:sz w:val="24"/>
          <w:szCs w:val="24"/>
          <w:lang w:eastAsia="it-IT"/>
        </w:rPr>
        <w:t xml:space="preserve">Museo Archeologico Nazionale </w:t>
      </w:r>
      <w:proofErr w:type="spellStart"/>
      <w:r w:rsidRPr="00CA4508">
        <w:rPr>
          <w:rFonts w:ascii="Times New Roman" w:eastAsia="Times New Roman" w:hAnsi="Times New Roman" w:cs="Times New Roman"/>
          <w:b/>
          <w:bCs/>
          <w:sz w:val="24"/>
          <w:szCs w:val="24"/>
          <w:lang w:eastAsia="it-IT"/>
        </w:rPr>
        <w:t>Cerite</w:t>
      </w:r>
      <w:proofErr w:type="spellEnd"/>
      <w:r w:rsidRPr="00CA4508">
        <w:rPr>
          <w:rFonts w:ascii="Times New Roman" w:eastAsia="Times New Roman" w:hAnsi="Times New Roman" w:cs="Times New Roman"/>
          <w:sz w:val="24"/>
          <w:szCs w:val="24"/>
          <w:lang w:eastAsia="it-IT"/>
        </w:rPr>
        <w:t xml:space="preserve"> e il </w:t>
      </w:r>
      <w:r w:rsidRPr="00CA4508">
        <w:rPr>
          <w:rFonts w:ascii="Times New Roman" w:eastAsia="Times New Roman" w:hAnsi="Times New Roman" w:cs="Times New Roman"/>
          <w:b/>
          <w:bCs/>
          <w:sz w:val="24"/>
          <w:szCs w:val="24"/>
          <w:lang w:eastAsia="it-IT"/>
        </w:rPr>
        <w:t>Museo Archeologico Nazionale di Tarquinia</w:t>
      </w:r>
      <w:r w:rsidRPr="00CA4508">
        <w:rPr>
          <w:rFonts w:ascii="Times New Roman" w:eastAsia="Times New Roman" w:hAnsi="Times New Roman" w:cs="Times New Roman"/>
          <w:sz w:val="24"/>
          <w:szCs w:val="24"/>
          <w:lang w:eastAsia="it-IT"/>
        </w:rPr>
        <w:t>, entrambi ospitati in contenitori architettonici di pregio come la Rocca Medievale di Cerveteri e Palazzo Vitelleschi a Tarquinia, gioiello dell’architettura laziale del Quattrocento.</w:t>
      </w:r>
    </w:p>
    <w:p w14:paraId="5A9ECDE9" w14:textId="77777777" w:rsidR="00CA4508" w:rsidRPr="00CA4508" w:rsidRDefault="00CA4508" w:rsidP="00CA4508">
      <w:pPr>
        <w:spacing w:after="0" w:line="276" w:lineRule="auto"/>
        <w:jc w:val="both"/>
        <w:rPr>
          <w:rFonts w:ascii="Times New Roman" w:eastAsia="Times New Roman" w:hAnsi="Times New Roman" w:cs="Times New Roman"/>
          <w:sz w:val="24"/>
          <w:szCs w:val="24"/>
          <w:lang w:eastAsia="it-IT"/>
        </w:rPr>
      </w:pPr>
    </w:p>
    <w:p w14:paraId="194E511E" w14:textId="77777777" w:rsidR="00CA4508" w:rsidRPr="00CA4508" w:rsidRDefault="00CA4508" w:rsidP="00CA4508">
      <w:pPr>
        <w:pStyle w:val="Titolo3"/>
        <w:spacing w:before="0" w:beforeAutospacing="0" w:after="0" w:afterAutospacing="0" w:line="276" w:lineRule="auto"/>
        <w:jc w:val="both"/>
        <w:rPr>
          <w:b w:val="0"/>
          <w:sz w:val="24"/>
          <w:szCs w:val="24"/>
          <w:u w:val="single"/>
        </w:rPr>
      </w:pPr>
      <w:r w:rsidRPr="00CA4508">
        <w:rPr>
          <w:b w:val="0"/>
          <w:sz w:val="24"/>
          <w:szCs w:val="24"/>
          <w:u w:val="single"/>
        </w:rPr>
        <w:t>La Necropoli della Banditaccia di Cerveteri</w:t>
      </w:r>
    </w:p>
    <w:p w14:paraId="6C8AADD5" w14:textId="77777777" w:rsidR="00CA4508" w:rsidRPr="00CA4508" w:rsidRDefault="00CA4508" w:rsidP="00CA4508">
      <w:pPr>
        <w:pStyle w:val="wp-block-paragraph"/>
        <w:spacing w:before="0" w:beforeAutospacing="0" w:after="0" w:afterAutospacing="0" w:line="276" w:lineRule="auto"/>
        <w:jc w:val="both"/>
      </w:pPr>
      <w:r w:rsidRPr="00CA4508">
        <w:t xml:space="preserve">A </w:t>
      </w:r>
      <w:r w:rsidRPr="00CA4508">
        <w:rPr>
          <w:rStyle w:val="Enfasigrassetto"/>
        </w:rPr>
        <w:t>Cerveteri</w:t>
      </w:r>
      <w:r w:rsidRPr="00CA4508">
        <w:t>, il fascino del paesaggio immerso nella natura e dell’atmosfera del parco naturale testimoniano lo storico rapporto fra uomo e natura che ha garantito il mantenimento di una enorme ricchezza di storia, di biodiversità e di paesaggi.</w:t>
      </w:r>
    </w:p>
    <w:p w14:paraId="1F3BBE97" w14:textId="77777777" w:rsidR="00CA4508" w:rsidRDefault="00CA4508" w:rsidP="00CA4508">
      <w:pPr>
        <w:pStyle w:val="wp-block-paragraph"/>
        <w:spacing w:before="0" w:beforeAutospacing="0" w:after="0" w:afterAutospacing="0" w:line="276" w:lineRule="auto"/>
        <w:jc w:val="both"/>
      </w:pPr>
      <w:r w:rsidRPr="00CA4508">
        <w:t xml:space="preserve">La </w:t>
      </w:r>
      <w:r w:rsidRPr="00CA4508">
        <w:rPr>
          <w:rStyle w:val="Enfasigrassetto"/>
        </w:rPr>
        <w:t>Necropoli della Banditaccia</w:t>
      </w:r>
      <w:r w:rsidRPr="00CA4508">
        <w:t xml:space="preserve"> doveva essere la più estesa e – ad oggi – la più importante delle necropoli della città, estendendosi su una superficie di circa 20 ettari e comprendendo centinaia di tumuli circolari sotto i quali vi sono tombe etrusche che si riferiscono ad un arco temporale molto ampio, dall’VIII al II sec. a.C.</w:t>
      </w:r>
    </w:p>
    <w:p w14:paraId="520B6439" w14:textId="77777777" w:rsidR="00CA4508" w:rsidRPr="00CA4508" w:rsidRDefault="00CA4508" w:rsidP="00CA4508">
      <w:pPr>
        <w:pStyle w:val="wp-block-paragraph"/>
        <w:spacing w:before="0" w:beforeAutospacing="0" w:after="0" w:afterAutospacing="0" w:line="276" w:lineRule="auto"/>
        <w:jc w:val="both"/>
      </w:pPr>
    </w:p>
    <w:p w14:paraId="1A10AF7B" w14:textId="77777777" w:rsidR="00CA4508" w:rsidRPr="00CA4508" w:rsidRDefault="00CA4508" w:rsidP="00CA4508">
      <w:pPr>
        <w:pStyle w:val="Titolo3"/>
        <w:spacing w:before="0" w:beforeAutospacing="0" w:after="0" w:afterAutospacing="0" w:line="276" w:lineRule="auto"/>
        <w:jc w:val="both"/>
        <w:rPr>
          <w:b w:val="0"/>
          <w:sz w:val="24"/>
          <w:szCs w:val="24"/>
          <w:u w:val="single"/>
        </w:rPr>
      </w:pPr>
      <w:r w:rsidRPr="00CA4508">
        <w:rPr>
          <w:b w:val="0"/>
          <w:sz w:val="24"/>
          <w:szCs w:val="24"/>
          <w:u w:val="single"/>
        </w:rPr>
        <w:t xml:space="preserve">Il Museo Archeologico Nazionale </w:t>
      </w:r>
      <w:proofErr w:type="spellStart"/>
      <w:r w:rsidRPr="00CA4508">
        <w:rPr>
          <w:b w:val="0"/>
          <w:sz w:val="24"/>
          <w:szCs w:val="24"/>
          <w:u w:val="single"/>
        </w:rPr>
        <w:t>Cerite</w:t>
      </w:r>
      <w:proofErr w:type="spellEnd"/>
    </w:p>
    <w:p w14:paraId="0D28D42F" w14:textId="77777777" w:rsidR="00CA4508" w:rsidRPr="00CA4508" w:rsidRDefault="00CA4508" w:rsidP="00CA4508">
      <w:pPr>
        <w:pStyle w:val="wp-block-paragraph"/>
        <w:spacing w:before="0" w:beforeAutospacing="0" w:after="0" w:afterAutospacing="0" w:line="276" w:lineRule="auto"/>
        <w:jc w:val="both"/>
      </w:pPr>
      <w:r w:rsidRPr="00CA4508">
        <w:t xml:space="preserve">Il </w:t>
      </w:r>
      <w:r w:rsidRPr="00CA4508">
        <w:rPr>
          <w:rStyle w:val="Enfasigrassetto"/>
        </w:rPr>
        <w:t xml:space="preserve">Museo Archeologico Nazionale </w:t>
      </w:r>
      <w:proofErr w:type="spellStart"/>
      <w:r w:rsidRPr="00CA4508">
        <w:rPr>
          <w:rStyle w:val="Enfasigrassetto"/>
        </w:rPr>
        <w:t>Cerite</w:t>
      </w:r>
      <w:proofErr w:type="spellEnd"/>
      <w:r w:rsidRPr="00CA4508">
        <w:t>, inaugurato nel 1967 e situato nel centro storico della città, ospita i ritrovamenti provenienti dalle necropoli e dalla città di Cerveteri. È situato all’interno del castello appartenuto alla famiglia Ruspoli, una rocca duecentesca eretta in muratura di tufo, lava e laterizi, caratterizzata da più torri, da un corpo rettangolare e tratti di mura etrusche risalenti al IV sec. a.C.: un vero e proprio poligono fortificato.</w:t>
      </w:r>
    </w:p>
    <w:p w14:paraId="7260C206" w14:textId="77777777" w:rsidR="00CA4508" w:rsidRDefault="00CA4508" w:rsidP="00CA4508">
      <w:pPr>
        <w:pStyle w:val="wp-block-paragraph"/>
        <w:spacing w:before="0" w:beforeAutospacing="0" w:after="0" w:afterAutospacing="0" w:line="276" w:lineRule="auto"/>
        <w:jc w:val="both"/>
      </w:pPr>
      <w:r w:rsidRPr="00CA4508">
        <w:t xml:space="preserve">Le raccolte del museo documentano le varie fasi culturali di tutto il territorio </w:t>
      </w:r>
      <w:proofErr w:type="spellStart"/>
      <w:r w:rsidRPr="00CA4508">
        <w:t>cerite</w:t>
      </w:r>
      <w:proofErr w:type="spellEnd"/>
      <w:r w:rsidRPr="00CA4508">
        <w:t xml:space="preserve"> e custodiscono importanti capolavori del mondo antico: il</w:t>
      </w:r>
      <w:r w:rsidRPr="00CA4508">
        <w:rPr>
          <w:rStyle w:val="Enfasigrassetto"/>
        </w:rPr>
        <w:t xml:space="preserve"> cratere di </w:t>
      </w:r>
      <w:r w:rsidRPr="00CA4508">
        <w:rPr>
          <w:rStyle w:val="Enfasigrassetto"/>
          <w:i/>
          <w:iCs/>
        </w:rPr>
        <w:t>Euphronios</w:t>
      </w:r>
      <w:r w:rsidRPr="00CA4508">
        <w:rPr>
          <w:rStyle w:val="Enfasicorsivo"/>
        </w:rPr>
        <w:t xml:space="preserve"> </w:t>
      </w:r>
      <w:r w:rsidRPr="00CA4508">
        <w:t xml:space="preserve">e la </w:t>
      </w:r>
      <w:r w:rsidRPr="00CA4508">
        <w:rPr>
          <w:rStyle w:val="Enfasigrassetto"/>
        </w:rPr>
        <w:t xml:space="preserve">Kylix </w:t>
      </w:r>
      <w:r w:rsidRPr="00CA4508">
        <w:t xml:space="preserve">(coppa monumentale) anch’essa di </w:t>
      </w:r>
      <w:r w:rsidRPr="00CA4508">
        <w:rPr>
          <w:rStyle w:val="Enfasicorsivo"/>
        </w:rPr>
        <w:t xml:space="preserve">Euphronios </w:t>
      </w:r>
      <w:r w:rsidRPr="00CA4508">
        <w:t xml:space="preserve">come ceramista e di Onesimos come ceramografo. </w:t>
      </w:r>
      <w:r w:rsidRPr="00CA4508">
        <w:rPr>
          <w:rStyle w:val="Enfasigrassetto"/>
        </w:rPr>
        <w:t>Il Cratere e la Kylix</w:t>
      </w:r>
      <w:r w:rsidRPr="00CA4508">
        <w:t xml:space="preserve"> sono arrivati a Cerveteri da Musei Americani dopo un fortunato recupero di arte rubata, ad opera dei Carabinieri, </w:t>
      </w:r>
      <w:r w:rsidR="00217166">
        <w:t>in anni recenti</w:t>
      </w:r>
      <w:r w:rsidRPr="00CA4508">
        <w:t xml:space="preserve"> hanno riportato in Italia i due straordinari reperti.</w:t>
      </w:r>
    </w:p>
    <w:p w14:paraId="05004DCE" w14:textId="77777777" w:rsidR="00CA4508" w:rsidRPr="00CA4508" w:rsidRDefault="00CA4508" w:rsidP="00CA4508">
      <w:pPr>
        <w:pStyle w:val="wp-block-paragraph"/>
        <w:spacing w:before="0" w:beforeAutospacing="0" w:after="0" w:afterAutospacing="0" w:line="276" w:lineRule="auto"/>
        <w:jc w:val="both"/>
      </w:pPr>
    </w:p>
    <w:p w14:paraId="77B5816B" w14:textId="77777777" w:rsidR="00CA4508" w:rsidRPr="00CA4508" w:rsidRDefault="00CA4508" w:rsidP="00CA4508">
      <w:pPr>
        <w:pStyle w:val="Titolo3"/>
        <w:spacing w:before="0" w:beforeAutospacing="0" w:after="0" w:afterAutospacing="0" w:line="276" w:lineRule="auto"/>
        <w:jc w:val="both"/>
        <w:rPr>
          <w:b w:val="0"/>
          <w:sz w:val="24"/>
          <w:szCs w:val="24"/>
          <w:u w:val="single"/>
        </w:rPr>
      </w:pPr>
      <w:r w:rsidRPr="00CA4508">
        <w:rPr>
          <w:b w:val="0"/>
          <w:sz w:val="24"/>
          <w:szCs w:val="24"/>
          <w:u w:val="single"/>
        </w:rPr>
        <w:t xml:space="preserve">La Necropoli dei </w:t>
      </w:r>
      <w:proofErr w:type="spellStart"/>
      <w:r w:rsidRPr="00CA4508">
        <w:rPr>
          <w:b w:val="0"/>
          <w:sz w:val="24"/>
          <w:szCs w:val="24"/>
          <w:u w:val="single"/>
        </w:rPr>
        <w:t>Monterozzi</w:t>
      </w:r>
      <w:proofErr w:type="spellEnd"/>
      <w:r w:rsidRPr="00CA4508">
        <w:rPr>
          <w:b w:val="0"/>
          <w:sz w:val="24"/>
          <w:szCs w:val="24"/>
          <w:u w:val="single"/>
        </w:rPr>
        <w:t xml:space="preserve"> di Tarquinia</w:t>
      </w:r>
    </w:p>
    <w:p w14:paraId="0932DECF" w14:textId="77777777" w:rsidR="00CA4508" w:rsidRDefault="00CA4508" w:rsidP="00CA4508">
      <w:pPr>
        <w:pStyle w:val="wp-block-paragraph"/>
        <w:spacing w:before="0" w:beforeAutospacing="0" w:after="0" w:afterAutospacing="0" w:line="276" w:lineRule="auto"/>
        <w:jc w:val="both"/>
      </w:pPr>
      <w:r w:rsidRPr="00CA4508">
        <w:t xml:space="preserve">La collina dei </w:t>
      </w:r>
      <w:proofErr w:type="spellStart"/>
      <w:r w:rsidRPr="00CA4508">
        <w:rPr>
          <w:rStyle w:val="Enfasigrassetto"/>
        </w:rPr>
        <w:t>Monterozzi</w:t>
      </w:r>
      <w:proofErr w:type="spellEnd"/>
      <w:r w:rsidRPr="00CA4508">
        <w:t>, lunga circa 6 km e sede della principale necropoli cittadina, si estende parallela alla costa tirrenica, tra questa e l’altura della Civita dove sorgeva la città etrusca. Le tombe coprono praticamente tutto il colle; se ne conoscono più di seimila, per la maggior parte camere scavate nella roccia e sormontate da tumuli. Sono proprio questi ultimi, oggi ormai appena visibili sul terreno perché spianati dai lavori agricoli (ma solo un secolo fa se ne contavano più di 600), che hanno dato al colle il nome popolare ed espressivo. La serie straordinaria di tombe dipinte rappresenta il nucleo più prestigioso della necropoli che resta, per questo aspetto, la più importante del Mediterraneo, tanto da essere definita da Massimo Pallottino “il primo capitolo della storia della pittura italiana”.</w:t>
      </w:r>
    </w:p>
    <w:p w14:paraId="7F9A651E" w14:textId="77777777" w:rsidR="00CA4508" w:rsidRPr="00CA4508" w:rsidRDefault="00CA4508" w:rsidP="00CA4508">
      <w:pPr>
        <w:pStyle w:val="wp-block-paragraph"/>
        <w:spacing w:before="0" w:beforeAutospacing="0" w:after="0" w:afterAutospacing="0" w:line="276" w:lineRule="auto"/>
        <w:jc w:val="both"/>
      </w:pPr>
    </w:p>
    <w:p w14:paraId="61261965" w14:textId="77777777" w:rsidR="00CA4508" w:rsidRPr="00CA4508" w:rsidRDefault="00CA4508" w:rsidP="00CA4508">
      <w:pPr>
        <w:pStyle w:val="Titolo3"/>
        <w:spacing w:before="0" w:beforeAutospacing="0" w:after="0" w:afterAutospacing="0" w:line="276" w:lineRule="auto"/>
        <w:jc w:val="both"/>
        <w:rPr>
          <w:b w:val="0"/>
          <w:sz w:val="24"/>
          <w:szCs w:val="24"/>
          <w:u w:val="single"/>
        </w:rPr>
      </w:pPr>
      <w:r w:rsidRPr="00CA4508">
        <w:rPr>
          <w:b w:val="0"/>
          <w:sz w:val="24"/>
          <w:szCs w:val="24"/>
          <w:u w:val="single"/>
        </w:rPr>
        <w:t>Il Museo Archeologico Nazionale di Tarquinia</w:t>
      </w:r>
    </w:p>
    <w:p w14:paraId="0DA92E4E" w14:textId="77777777" w:rsidR="00CA4508" w:rsidRPr="00CA4508" w:rsidRDefault="00CA4508" w:rsidP="00CA4508">
      <w:pPr>
        <w:pStyle w:val="wp-block-paragraph"/>
        <w:spacing w:before="0" w:beforeAutospacing="0" w:after="0" w:afterAutospacing="0" w:line="276" w:lineRule="auto"/>
        <w:jc w:val="both"/>
      </w:pPr>
      <w:r w:rsidRPr="00CA4508">
        <w:t>Il Museo Archeologico Nazionale di Tarquinia è stato inaugurato nel 1924 all’interno dello splendido Palazzo Vitelleschi, uno dei più importanti monumenti del primo rinascimento laziale.</w:t>
      </w:r>
    </w:p>
    <w:p w14:paraId="2E622E6B" w14:textId="77777777" w:rsidR="00544BED" w:rsidRPr="00CA4508" w:rsidRDefault="00CA4508" w:rsidP="00CA4508">
      <w:pPr>
        <w:pStyle w:val="wp-block-paragraph"/>
        <w:spacing w:before="0" w:beforeAutospacing="0" w:after="0" w:afterAutospacing="0" w:line="276" w:lineRule="auto"/>
        <w:jc w:val="both"/>
      </w:pPr>
      <w:r w:rsidRPr="00CA4508">
        <w:t>Il museo accoglie due storiche collezioni ottocentesche, la Raccolta Comunale e la collezione privata dei conti Bruschi-Falgari: in seguito, è andato arricchendosi con i materiali provenienti dagli scavi. Il percorso espositivo si sviluppa in più aree tematiche abbracciando un arco cronologico che, partendo dall’età del Ferro (IX sec. a.C.), giunge all’epoca romana: la scultura monumentale e funeraria, i corredi funerari, la ceramica importata e di imitazione dal periodo geometrico a quello ellenistico, l’abitato.</w:t>
      </w:r>
    </w:p>
    <w:p w14:paraId="079B8EAC" w14:textId="77777777" w:rsidR="00CA4508" w:rsidRDefault="00CA4508" w:rsidP="00CA4508">
      <w:pPr>
        <w:pStyle w:val="wp-block-paragraph"/>
        <w:spacing w:before="0" w:beforeAutospacing="0" w:after="0" w:afterAutospacing="0" w:line="276" w:lineRule="auto"/>
        <w:jc w:val="both"/>
      </w:pPr>
    </w:p>
    <w:p w14:paraId="75BD211E" w14:textId="77777777" w:rsidR="00CA4508" w:rsidRPr="00CA4508" w:rsidRDefault="00CA4508" w:rsidP="00CA4508">
      <w:pPr>
        <w:pStyle w:val="Titolo3"/>
        <w:spacing w:before="0" w:beforeAutospacing="0" w:after="0" w:afterAutospacing="0" w:line="276" w:lineRule="auto"/>
        <w:jc w:val="both"/>
        <w:rPr>
          <w:b w:val="0"/>
          <w:sz w:val="24"/>
          <w:szCs w:val="24"/>
          <w:u w:val="single"/>
        </w:rPr>
      </w:pPr>
      <w:r w:rsidRPr="00CA4508">
        <w:rPr>
          <w:b w:val="0"/>
          <w:sz w:val="24"/>
          <w:szCs w:val="24"/>
          <w:u w:val="single"/>
        </w:rPr>
        <w:t>Le mostre</w:t>
      </w:r>
    </w:p>
    <w:p w14:paraId="73AC646C" w14:textId="77777777" w:rsidR="00CA4508" w:rsidRPr="00CA4508" w:rsidRDefault="00CA4508" w:rsidP="00CA4508">
      <w:pPr>
        <w:spacing w:after="0" w:line="276" w:lineRule="auto"/>
        <w:ind w:right="-2"/>
        <w:jc w:val="both"/>
        <w:rPr>
          <w:rFonts w:ascii="Times New Roman" w:hAnsi="Times New Roman" w:cs="Times New Roman"/>
          <w:sz w:val="24"/>
          <w:szCs w:val="24"/>
        </w:rPr>
      </w:pPr>
      <w:r>
        <w:rPr>
          <w:rFonts w:ascii="Times New Roman" w:hAnsi="Times New Roman" w:cs="Times New Roman"/>
          <w:sz w:val="24"/>
          <w:szCs w:val="24"/>
        </w:rPr>
        <w:t>Da</w:t>
      </w:r>
      <w:r w:rsidRPr="00CA4508">
        <w:rPr>
          <w:rFonts w:ascii="Times New Roman" w:hAnsi="Times New Roman" w:cs="Times New Roman"/>
          <w:sz w:val="24"/>
          <w:szCs w:val="24"/>
        </w:rPr>
        <w:t xml:space="preserve">l mese di giugno, presso il </w:t>
      </w:r>
      <w:r w:rsidRPr="00CA4508">
        <w:rPr>
          <w:rFonts w:ascii="Times New Roman" w:hAnsi="Times New Roman" w:cs="Times New Roman"/>
          <w:b/>
          <w:bCs/>
          <w:sz w:val="24"/>
          <w:szCs w:val="24"/>
        </w:rPr>
        <w:t xml:space="preserve">Museo Archeologico Nazionale </w:t>
      </w:r>
      <w:proofErr w:type="spellStart"/>
      <w:r w:rsidRPr="00CA4508">
        <w:rPr>
          <w:rFonts w:ascii="Times New Roman" w:hAnsi="Times New Roman" w:cs="Times New Roman"/>
          <w:b/>
          <w:bCs/>
          <w:sz w:val="24"/>
          <w:szCs w:val="24"/>
        </w:rPr>
        <w:t>Cerite</w:t>
      </w:r>
      <w:proofErr w:type="spellEnd"/>
      <w:r w:rsidRPr="00CA4508">
        <w:rPr>
          <w:rFonts w:ascii="Times New Roman" w:hAnsi="Times New Roman" w:cs="Times New Roman"/>
          <w:sz w:val="24"/>
          <w:szCs w:val="24"/>
        </w:rPr>
        <w:t xml:space="preserve"> di Cerveteri </w:t>
      </w:r>
      <w:r>
        <w:rPr>
          <w:rFonts w:ascii="Times New Roman" w:hAnsi="Times New Roman" w:cs="Times New Roman"/>
          <w:sz w:val="24"/>
          <w:szCs w:val="24"/>
        </w:rPr>
        <w:t xml:space="preserve">è possibile visitare </w:t>
      </w:r>
      <w:r w:rsidRPr="00CA4508">
        <w:rPr>
          <w:rFonts w:ascii="Times New Roman" w:hAnsi="Times New Roman" w:cs="Times New Roman"/>
          <w:sz w:val="24"/>
          <w:szCs w:val="24"/>
        </w:rPr>
        <w:t xml:space="preserve">la mostra </w:t>
      </w:r>
      <w:r w:rsidRPr="00CA4508">
        <w:rPr>
          <w:rFonts w:ascii="Times New Roman" w:hAnsi="Times New Roman" w:cs="Times New Roman"/>
          <w:b/>
          <w:bCs/>
          <w:i/>
          <w:sz w:val="24"/>
          <w:szCs w:val="24"/>
        </w:rPr>
        <w:t>“Veder greco in Etruria</w:t>
      </w:r>
      <w:r w:rsidRPr="00CA4508">
        <w:rPr>
          <w:rFonts w:ascii="Times New Roman" w:hAnsi="Times New Roman" w:cs="Times New Roman"/>
          <w:b/>
          <w:bCs/>
          <w:sz w:val="24"/>
          <w:szCs w:val="24"/>
        </w:rPr>
        <w:t xml:space="preserve">”: </w:t>
      </w:r>
      <w:r w:rsidRPr="00CA4508">
        <w:rPr>
          <w:rFonts w:ascii="Times New Roman" w:hAnsi="Times New Roman" w:cs="Times New Roman"/>
          <w:b/>
          <w:bCs/>
          <w:i/>
          <w:iCs/>
          <w:sz w:val="24"/>
          <w:szCs w:val="24"/>
        </w:rPr>
        <w:t xml:space="preserve">le </w:t>
      </w:r>
      <w:proofErr w:type="spellStart"/>
      <w:r w:rsidRPr="00CA4508">
        <w:rPr>
          <w:rFonts w:ascii="Times New Roman" w:hAnsi="Times New Roman" w:cs="Times New Roman"/>
          <w:b/>
          <w:bCs/>
          <w:i/>
          <w:iCs/>
          <w:sz w:val="24"/>
          <w:szCs w:val="24"/>
        </w:rPr>
        <w:t>idrìe</w:t>
      </w:r>
      <w:proofErr w:type="spellEnd"/>
      <w:r w:rsidRPr="00CA4508">
        <w:rPr>
          <w:rFonts w:ascii="Times New Roman" w:hAnsi="Times New Roman" w:cs="Times New Roman"/>
          <w:b/>
          <w:bCs/>
          <w:i/>
          <w:iCs/>
          <w:sz w:val="24"/>
          <w:szCs w:val="24"/>
        </w:rPr>
        <w:t xml:space="preserve"> di Cerveteri</w:t>
      </w:r>
      <w:r w:rsidRPr="00CA4508">
        <w:rPr>
          <w:rFonts w:ascii="Times New Roman" w:hAnsi="Times New Roman" w:cs="Times New Roman"/>
          <w:sz w:val="24"/>
          <w:szCs w:val="24"/>
        </w:rPr>
        <w:t xml:space="preserve">. Curata dal Direttore Dott. </w:t>
      </w:r>
      <w:r w:rsidRPr="00CA4508">
        <w:rPr>
          <w:rFonts w:ascii="Times New Roman" w:hAnsi="Times New Roman" w:cs="Times New Roman"/>
          <w:b/>
          <w:bCs/>
          <w:sz w:val="24"/>
          <w:szCs w:val="24"/>
        </w:rPr>
        <w:t>Vincenzo Bellelli</w:t>
      </w:r>
      <w:r w:rsidRPr="00CA4508">
        <w:rPr>
          <w:rFonts w:ascii="Times New Roman" w:hAnsi="Times New Roman" w:cs="Times New Roman"/>
          <w:sz w:val="24"/>
          <w:szCs w:val="24"/>
        </w:rPr>
        <w:t xml:space="preserve"> e dal Dott. </w:t>
      </w:r>
      <w:r w:rsidRPr="00CA4508">
        <w:rPr>
          <w:rFonts w:ascii="Times New Roman" w:hAnsi="Times New Roman" w:cs="Times New Roman"/>
          <w:b/>
          <w:bCs/>
          <w:sz w:val="24"/>
          <w:szCs w:val="24"/>
        </w:rPr>
        <w:t>Patrizio Fileri</w:t>
      </w:r>
      <w:r w:rsidRPr="00CA4508">
        <w:rPr>
          <w:rFonts w:ascii="Times New Roman" w:hAnsi="Times New Roman" w:cs="Times New Roman"/>
          <w:sz w:val="24"/>
          <w:szCs w:val="24"/>
        </w:rPr>
        <w:t>, l</w:t>
      </w:r>
      <w:r>
        <w:rPr>
          <w:rFonts w:ascii="Times New Roman" w:hAnsi="Times New Roman" w:cs="Times New Roman"/>
          <w:sz w:val="24"/>
          <w:szCs w:val="24"/>
        </w:rPr>
        <w:t>’iniziativa coinvolge</w:t>
      </w:r>
      <w:r w:rsidRPr="00CA4508">
        <w:rPr>
          <w:rFonts w:ascii="Times New Roman" w:hAnsi="Times New Roman" w:cs="Times New Roman"/>
          <w:sz w:val="24"/>
          <w:szCs w:val="24"/>
        </w:rPr>
        <w:t xml:space="preserve"> prestigiosi partner nazionali e internazionali, quali il Louvre, il British Museum, i Musei Vaticani, il Museo nazionale etrusco di Villa Giulia e i Musei Capitolini.</w:t>
      </w:r>
    </w:p>
    <w:p w14:paraId="37956C0F" w14:textId="77777777" w:rsidR="00CA4508" w:rsidRPr="00CA4508" w:rsidRDefault="00CA4508" w:rsidP="00CA4508">
      <w:pPr>
        <w:spacing w:after="0" w:line="276" w:lineRule="auto"/>
        <w:ind w:right="-2"/>
        <w:jc w:val="both"/>
        <w:rPr>
          <w:rFonts w:ascii="Times New Roman" w:hAnsi="Times New Roman" w:cs="Times New Roman"/>
          <w:sz w:val="24"/>
          <w:szCs w:val="24"/>
        </w:rPr>
      </w:pPr>
      <w:r w:rsidRPr="00CA4508">
        <w:rPr>
          <w:rFonts w:ascii="Times New Roman" w:hAnsi="Times New Roman" w:cs="Times New Roman"/>
          <w:sz w:val="24"/>
          <w:szCs w:val="24"/>
        </w:rPr>
        <w:t xml:space="preserve">La mostra </w:t>
      </w:r>
      <w:r>
        <w:rPr>
          <w:rFonts w:ascii="Times New Roman" w:hAnsi="Times New Roman" w:cs="Times New Roman"/>
          <w:sz w:val="24"/>
          <w:szCs w:val="24"/>
        </w:rPr>
        <w:t>esalta</w:t>
      </w:r>
      <w:r w:rsidRPr="00CA4508">
        <w:rPr>
          <w:rFonts w:ascii="Times New Roman" w:hAnsi="Times New Roman" w:cs="Times New Roman"/>
          <w:sz w:val="24"/>
          <w:szCs w:val="24"/>
        </w:rPr>
        <w:t xml:space="preserve"> il ruolo internazionale di Cerveteri – vera e propria metropoli mediterranea – in età arcaica e il suo rapporto speciale con il mondo greco, attraverso l’esposizione di una ampia varietà di prodotti ceramici di produzione greca e di altre opere che ne dimostrano l’influsso sulla produzione locale. Esempi significativi di queste dinamiche si ritrovano tanto nella pittura vascolare che nelle terrecotte decorative impiegate nell’architettura, produzioni di cui Cerveteri, nella seconda metà del VI secolo risulta protagonista assoluta, sia in quanto centro di importazione privilegiato, che come promotore di nuove tendenze artistiche. </w:t>
      </w:r>
    </w:p>
    <w:p w14:paraId="7A5F59C8" w14:textId="77777777" w:rsidR="00CA4508" w:rsidRPr="00CA4508" w:rsidRDefault="00CA4508" w:rsidP="00CA4508">
      <w:pPr>
        <w:spacing w:after="0" w:line="276" w:lineRule="auto"/>
        <w:ind w:right="-2"/>
        <w:jc w:val="both"/>
        <w:rPr>
          <w:rFonts w:ascii="Times New Roman" w:hAnsi="Times New Roman" w:cs="Times New Roman"/>
          <w:sz w:val="24"/>
          <w:szCs w:val="24"/>
        </w:rPr>
      </w:pPr>
      <w:r w:rsidRPr="00CA4508">
        <w:rPr>
          <w:rFonts w:ascii="Times New Roman" w:hAnsi="Times New Roman" w:cs="Times New Roman"/>
          <w:sz w:val="24"/>
          <w:szCs w:val="24"/>
        </w:rPr>
        <w:t>Focus della mostra s</w:t>
      </w:r>
      <w:r>
        <w:rPr>
          <w:rFonts w:ascii="Times New Roman" w:hAnsi="Times New Roman" w:cs="Times New Roman"/>
          <w:sz w:val="24"/>
          <w:szCs w:val="24"/>
        </w:rPr>
        <w:t>ono</w:t>
      </w:r>
      <w:r w:rsidRPr="00CA4508">
        <w:rPr>
          <w:rFonts w:ascii="Times New Roman" w:hAnsi="Times New Roman" w:cs="Times New Roman"/>
          <w:sz w:val="24"/>
          <w:szCs w:val="24"/>
        </w:rPr>
        <w:t xml:space="preserve"> le </w:t>
      </w:r>
      <w:proofErr w:type="spellStart"/>
      <w:r w:rsidRPr="00CA4508">
        <w:rPr>
          <w:rFonts w:ascii="Times New Roman" w:hAnsi="Times New Roman" w:cs="Times New Roman"/>
          <w:b/>
          <w:bCs/>
          <w:i/>
          <w:iCs/>
          <w:sz w:val="24"/>
          <w:szCs w:val="24"/>
        </w:rPr>
        <w:t>hydriai</w:t>
      </w:r>
      <w:proofErr w:type="spellEnd"/>
      <w:r w:rsidRPr="00CA4508">
        <w:rPr>
          <w:rFonts w:ascii="Times New Roman" w:hAnsi="Times New Roman" w:cs="Times New Roman"/>
          <w:sz w:val="24"/>
          <w:szCs w:val="24"/>
        </w:rPr>
        <w:t xml:space="preserve"> (contenitori di acqua) </w:t>
      </w:r>
      <w:r w:rsidRPr="00CA4508">
        <w:rPr>
          <w:rFonts w:ascii="Times New Roman" w:hAnsi="Times New Roman" w:cs="Times New Roman"/>
          <w:b/>
          <w:bCs/>
          <w:sz w:val="24"/>
          <w:szCs w:val="24"/>
        </w:rPr>
        <w:t>ceretane</w:t>
      </w:r>
      <w:r w:rsidRPr="00CA4508">
        <w:rPr>
          <w:rFonts w:ascii="Times New Roman" w:hAnsi="Times New Roman" w:cs="Times New Roman"/>
          <w:sz w:val="24"/>
          <w:szCs w:val="24"/>
        </w:rPr>
        <w:t xml:space="preserve">: una classe di ceramiche dipinte eccezionali per qualità, rarità e raffinatezza, di stile greco-orientale, ma rinvenute esclusivamente a Cerveteri. Per la prima volta </w:t>
      </w:r>
      <w:r>
        <w:rPr>
          <w:rFonts w:ascii="Times New Roman" w:hAnsi="Times New Roman" w:cs="Times New Roman"/>
          <w:sz w:val="24"/>
          <w:szCs w:val="24"/>
        </w:rPr>
        <w:t>sono</w:t>
      </w:r>
      <w:r w:rsidRPr="00CA4508">
        <w:rPr>
          <w:rFonts w:ascii="Times New Roman" w:hAnsi="Times New Roman" w:cs="Times New Roman"/>
          <w:sz w:val="24"/>
          <w:szCs w:val="24"/>
        </w:rPr>
        <w:t xml:space="preserve"> esposti insieme l’intero nucleo di </w:t>
      </w:r>
      <w:proofErr w:type="spellStart"/>
      <w:r w:rsidRPr="00CA4508">
        <w:rPr>
          <w:rFonts w:ascii="Times New Roman" w:hAnsi="Times New Roman" w:cs="Times New Roman"/>
          <w:sz w:val="24"/>
          <w:szCs w:val="24"/>
        </w:rPr>
        <w:t>hydriai</w:t>
      </w:r>
      <w:proofErr w:type="spellEnd"/>
      <w:r w:rsidRPr="00CA4508">
        <w:rPr>
          <w:rFonts w:ascii="Times New Roman" w:hAnsi="Times New Roman" w:cs="Times New Roman"/>
          <w:sz w:val="24"/>
          <w:szCs w:val="24"/>
        </w:rPr>
        <w:t xml:space="preserve"> del Museo del Louvre proveniente dalla collezione del marchese Campana e quello del Museo etrusco di Villa Giulia.  Si p</w:t>
      </w:r>
      <w:r>
        <w:rPr>
          <w:rFonts w:ascii="Times New Roman" w:hAnsi="Times New Roman" w:cs="Times New Roman"/>
          <w:sz w:val="24"/>
          <w:szCs w:val="24"/>
        </w:rPr>
        <w:t xml:space="preserve">ossono </w:t>
      </w:r>
      <w:r w:rsidRPr="00CA4508">
        <w:rPr>
          <w:rFonts w:ascii="Times New Roman" w:hAnsi="Times New Roman" w:cs="Times New Roman"/>
          <w:sz w:val="24"/>
          <w:szCs w:val="24"/>
        </w:rPr>
        <w:t xml:space="preserve">inoltre ammirare da vicino, per la prima volta insieme, la celeberrima </w:t>
      </w:r>
      <w:proofErr w:type="spellStart"/>
      <w:r w:rsidRPr="00CA4508">
        <w:rPr>
          <w:rFonts w:ascii="Times New Roman" w:hAnsi="Times New Roman" w:cs="Times New Roman"/>
          <w:b/>
          <w:bCs/>
          <w:sz w:val="24"/>
          <w:szCs w:val="24"/>
        </w:rPr>
        <w:t>hydria</w:t>
      </w:r>
      <w:proofErr w:type="spellEnd"/>
      <w:r w:rsidRPr="00CA4508">
        <w:rPr>
          <w:rFonts w:ascii="Times New Roman" w:hAnsi="Times New Roman" w:cs="Times New Roman"/>
          <w:b/>
          <w:bCs/>
          <w:sz w:val="24"/>
          <w:szCs w:val="24"/>
        </w:rPr>
        <w:t xml:space="preserve"> della </w:t>
      </w:r>
      <w:proofErr w:type="spellStart"/>
      <w:r w:rsidRPr="00CA4508">
        <w:rPr>
          <w:rFonts w:ascii="Times New Roman" w:hAnsi="Times New Roman" w:cs="Times New Roman"/>
          <w:b/>
          <w:bCs/>
          <w:sz w:val="24"/>
          <w:szCs w:val="24"/>
        </w:rPr>
        <w:t>Polledrara</w:t>
      </w:r>
      <w:proofErr w:type="spellEnd"/>
      <w:r w:rsidRPr="00CA4508">
        <w:rPr>
          <w:rFonts w:ascii="Times New Roman" w:hAnsi="Times New Roman" w:cs="Times New Roman"/>
          <w:sz w:val="24"/>
          <w:szCs w:val="24"/>
        </w:rPr>
        <w:t xml:space="preserve"> e l’</w:t>
      </w:r>
      <w:proofErr w:type="spellStart"/>
      <w:r w:rsidRPr="00CA4508">
        <w:rPr>
          <w:rFonts w:ascii="Times New Roman" w:hAnsi="Times New Roman" w:cs="Times New Roman"/>
          <w:b/>
          <w:bCs/>
          <w:sz w:val="24"/>
          <w:szCs w:val="24"/>
        </w:rPr>
        <w:t>hydria</w:t>
      </w:r>
      <w:proofErr w:type="spellEnd"/>
      <w:r w:rsidRPr="00CA4508">
        <w:rPr>
          <w:rFonts w:ascii="Times New Roman" w:hAnsi="Times New Roman" w:cs="Times New Roman"/>
          <w:b/>
          <w:bCs/>
          <w:sz w:val="24"/>
          <w:szCs w:val="24"/>
        </w:rPr>
        <w:t xml:space="preserve"> Ricci</w:t>
      </w:r>
      <w:r w:rsidRPr="00CA4508">
        <w:rPr>
          <w:rFonts w:ascii="Times New Roman" w:hAnsi="Times New Roman" w:cs="Times New Roman"/>
          <w:sz w:val="24"/>
          <w:szCs w:val="24"/>
        </w:rPr>
        <w:t xml:space="preserve">, due capolavori assoluti della ceramografia antica. Insieme alle </w:t>
      </w:r>
      <w:proofErr w:type="spellStart"/>
      <w:r w:rsidRPr="00CA4508">
        <w:rPr>
          <w:rFonts w:ascii="Times New Roman" w:hAnsi="Times New Roman" w:cs="Times New Roman"/>
          <w:sz w:val="24"/>
          <w:szCs w:val="24"/>
        </w:rPr>
        <w:t>hydriai</w:t>
      </w:r>
      <w:proofErr w:type="spellEnd"/>
      <w:r w:rsidRPr="00CA4508">
        <w:rPr>
          <w:rFonts w:ascii="Times New Roman" w:hAnsi="Times New Roman" w:cs="Times New Roman"/>
          <w:sz w:val="24"/>
          <w:szCs w:val="24"/>
        </w:rPr>
        <w:t xml:space="preserve"> s</w:t>
      </w:r>
      <w:r>
        <w:rPr>
          <w:rFonts w:ascii="Times New Roman" w:hAnsi="Times New Roman" w:cs="Times New Roman"/>
          <w:sz w:val="24"/>
          <w:szCs w:val="24"/>
        </w:rPr>
        <w:t>ono</w:t>
      </w:r>
      <w:r w:rsidRPr="00CA4508">
        <w:rPr>
          <w:rFonts w:ascii="Times New Roman" w:hAnsi="Times New Roman" w:cs="Times New Roman"/>
          <w:sz w:val="24"/>
          <w:szCs w:val="24"/>
        </w:rPr>
        <w:t xml:space="preserve"> esposti per l’occasione numerosi materiali poco noti o inediti che illustreranno le connessioni con questi straordinari vasi istoriati. Significative testimonianze della pittura architettonica favoriranno il confronto immediato tra i diversi media artistici in modo da comunicare efficacemente l’impronta stilistica e l’immaginario visivo della Cerveteri arcaica. </w:t>
      </w:r>
    </w:p>
    <w:p w14:paraId="370441CC" w14:textId="77777777" w:rsidR="00CA4508" w:rsidRPr="00CA4508" w:rsidRDefault="00CA4508" w:rsidP="00CA4508">
      <w:pPr>
        <w:spacing w:after="0" w:line="276" w:lineRule="auto"/>
        <w:jc w:val="both"/>
        <w:rPr>
          <w:rFonts w:ascii="Times New Roman" w:hAnsi="Times New Roman" w:cs="Times New Roman"/>
          <w:bCs/>
          <w:color w:val="FF0000"/>
          <w:sz w:val="24"/>
          <w:szCs w:val="24"/>
        </w:rPr>
      </w:pPr>
    </w:p>
    <w:p w14:paraId="395CF76A" w14:textId="77777777" w:rsidR="00CA4508" w:rsidRPr="00CA4508" w:rsidRDefault="00CA4508" w:rsidP="00CA4508">
      <w:pPr>
        <w:spacing w:after="0" w:line="276" w:lineRule="auto"/>
        <w:jc w:val="both"/>
        <w:rPr>
          <w:rFonts w:ascii="Times New Roman" w:hAnsi="Times New Roman" w:cs="Times New Roman"/>
          <w:bCs/>
          <w:sz w:val="24"/>
          <w:szCs w:val="24"/>
        </w:rPr>
      </w:pPr>
      <w:r w:rsidRPr="00CA4508">
        <w:rPr>
          <w:rFonts w:ascii="Times New Roman" w:hAnsi="Times New Roman" w:cs="Times New Roman"/>
          <w:bCs/>
          <w:sz w:val="24"/>
          <w:szCs w:val="24"/>
        </w:rPr>
        <w:t xml:space="preserve">A Tarquinia, nella cornice del rinascimentale Palazzo Vitelleschi, la mostra </w:t>
      </w:r>
      <w:r w:rsidRPr="00CA4508">
        <w:rPr>
          <w:rFonts w:ascii="Times New Roman" w:hAnsi="Times New Roman" w:cs="Times New Roman"/>
          <w:b/>
          <w:i/>
          <w:iCs/>
          <w:sz w:val="24"/>
          <w:szCs w:val="24"/>
        </w:rPr>
        <w:t xml:space="preserve">In viaggio nel Regno delle Ombre. </w:t>
      </w:r>
      <w:r>
        <w:rPr>
          <w:rFonts w:ascii="Times New Roman" w:hAnsi="Times New Roman" w:cs="Times New Roman"/>
          <w:b/>
          <w:i/>
          <w:iCs/>
          <w:sz w:val="24"/>
          <w:szCs w:val="24"/>
        </w:rPr>
        <w:t>Capolavori della pittura etrusca</w:t>
      </w:r>
      <w:r w:rsidRPr="00CA4508">
        <w:rPr>
          <w:rFonts w:ascii="Times New Roman" w:hAnsi="Times New Roman" w:cs="Times New Roman"/>
          <w:b/>
          <w:i/>
          <w:iCs/>
          <w:sz w:val="24"/>
          <w:szCs w:val="24"/>
        </w:rPr>
        <w:t xml:space="preserve"> fra Tarquinia e Orvieto</w:t>
      </w:r>
      <w:r>
        <w:rPr>
          <w:rFonts w:ascii="Times New Roman" w:hAnsi="Times New Roman" w:cs="Times New Roman"/>
          <w:bCs/>
          <w:sz w:val="24"/>
          <w:szCs w:val="24"/>
        </w:rPr>
        <w:t xml:space="preserve">, a cura del </w:t>
      </w:r>
      <w:proofErr w:type="spellStart"/>
      <w:r>
        <w:rPr>
          <w:rFonts w:ascii="Times New Roman" w:hAnsi="Times New Roman" w:cs="Times New Roman"/>
          <w:bCs/>
          <w:sz w:val="24"/>
          <w:szCs w:val="24"/>
        </w:rPr>
        <w:t>Dirtettore</w:t>
      </w:r>
      <w:proofErr w:type="spellEnd"/>
      <w:r>
        <w:rPr>
          <w:rFonts w:ascii="Times New Roman" w:hAnsi="Times New Roman" w:cs="Times New Roman"/>
          <w:bCs/>
          <w:sz w:val="24"/>
          <w:szCs w:val="24"/>
        </w:rPr>
        <w:t xml:space="preserve"> Dott.</w:t>
      </w:r>
      <w:r w:rsidRPr="00CA4508">
        <w:rPr>
          <w:rFonts w:ascii="Times New Roman" w:hAnsi="Times New Roman" w:cs="Times New Roman"/>
          <w:bCs/>
          <w:sz w:val="24"/>
          <w:szCs w:val="24"/>
        </w:rPr>
        <w:t xml:space="preserve"> </w:t>
      </w:r>
      <w:r w:rsidRPr="00CA4508">
        <w:rPr>
          <w:rFonts w:ascii="Times New Roman" w:hAnsi="Times New Roman" w:cs="Times New Roman"/>
          <w:b/>
          <w:bCs/>
          <w:color w:val="000000" w:themeColor="text1"/>
          <w:sz w:val="24"/>
          <w:szCs w:val="24"/>
        </w:rPr>
        <w:t>Vincenzo Bellelli</w:t>
      </w:r>
      <w:r w:rsidRPr="00CA4508">
        <w:rPr>
          <w:rFonts w:ascii="Times New Roman" w:hAnsi="Times New Roman" w:cs="Times New Roman"/>
          <w:bCs/>
          <w:color w:val="000000" w:themeColor="text1"/>
          <w:sz w:val="24"/>
          <w:szCs w:val="24"/>
        </w:rPr>
        <w:t xml:space="preserve"> e</w:t>
      </w:r>
      <w:r>
        <w:rPr>
          <w:rFonts w:ascii="Times New Roman" w:hAnsi="Times New Roman" w:cs="Times New Roman"/>
          <w:bCs/>
          <w:color w:val="000000" w:themeColor="text1"/>
          <w:sz w:val="24"/>
          <w:szCs w:val="24"/>
        </w:rPr>
        <w:t xml:space="preserve"> della Dott.ssa</w:t>
      </w:r>
      <w:r w:rsidRPr="00CA4508">
        <w:rPr>
          <w:rFonts w:ascii="Times New Roman" w:hAnsi="Times New Roman" w:cs="Times New Roman"/>
          <w:bCs/>
          <w:color w:val="000000" w:themeColor="text1"/>
          <w:sz w:val="24"/>
          <w:szCs w:val="24"/>
        </w:rPr>
        <w:t xml:space="preserve"> </w:t>
      </w:r>
      <w:r w:rsidRPr="00CA4508">
        <w:rPr>
          <w:rFonts w:ascii="Times New Roman" w:hAnsi="Times New Roman" w:cs="Times New Roman"/>
          <w:b/>
          <w:bCs/>
          <w:color w:val="000000" w:themeColor="text1"/>
          <w:sz w:val="24"/>
          <w:szCs w:val="24"/>
        </w:rPr>
        <w:t>Maria Cristina Tomassetti</w:t>
      </w:r>
      <w:r w:rsidRPr="00CA4508">
        <w:rPr>
          <w:rFonts w:ascii="Times New Roman" w:hAnsi="Times New Roman" w:cs="Times New Roman"/>
          <w:bCs/>
          <w:sz w:val="24"/>
          <w:szCs w:val="24"/>
        </w:rPr>
        <w:t>,</w:t>
      </w:r>
      <w:r>
        <w:rPr>
          <w:rFonts w:ascii="Times New Roman" w:hAnsi="Times New Roman" w:cs="Times New Roman"/>
          <w:bCs/>
          <w:sz w:val="24"/>
          <w:szCs w:val="24"/>
        </w:rPr>
        <w:t xml:space="preserve"> accende</w:t>
      </w:r>
      <w:r w:rsidRPr="00CA4508">
        <w:rPr>
          <w:rFonts w:ascii="Times New Roman" w:hAnsi="Times New Roman" w:cs="Times New Roman"/>
          <w:bCs/>
          <w:sz w:val="24"/>
          <w:szCs w:val="24"/>
        </w:rPr>
        <w:t xml:space="preserve"> i riflettori sulla pittura funeraria etrusca per la quale, la necropoli tarquiniese, è diventata universalmente nota. </w:t>
      </w:r>
    </w:p>
    <w:p w14:paraId="3E8C8236" w14:textId="77777777" w:rsidR="00CA4508" w:rsidRPr="00CA4508" w:rsidRDefault="00CA4508" w:rsidP="00CA4508">
      <w:pPr>
        <w:spacing w:after="0"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La mostra si incentra</w:t>
      </w:r>
      <w:r w:rsidRPr="00CA4508">
        <w:rPr>
          <w:rFonts w:ascii="Times New Roman" w:hAnsi="Times New Roman" w:cs="Times New Roman"/>
          <w:bCs/>
          <w:color w:val="000000" w:themeColor="text1"/>
          <w:sz w:val="24"/>
          <w:szCs w:val="24"/>
        </w:rPr>
        <w:t xml:space="preserve"> sul IV secolo a. C. e sui dipinti delle tombe Golini I e II, eccezionali testimonianze pittoriche di Orvieto che </w:t>
      </w:r>
      <w:r>
        <w:rPr>
          <w:rFonts w:ascii="Times New Roman" w:hAnsi="Times New Roman" w:cs="Times New Roman"/>
          <w:bCs/>
          <w:color w:val="000000" w:themeColor="text1"/>
          <w:sz w:val="24"/>
          <w:szCs w:val="24"/>
        </w:rPr>
        <w:t>sono</w:t>
      </w:r>
      <w:r w:rsidRPr="00CA4508">
        <w:rPr>
          <w:rFonts w:ascii="Times New Roman" w:hAnsi="Times New Roman" w:cs="Times New Roman"/>
          <w:bCs/>
          <w:color w:val="000000" w:themeColor="text1"/>
          <w:sz w:val="24"/>
          <w:szCs w:val="24"/>
        </w:rPr>
        <w:t xml:space="preserve"> fruibili durante il periodo di chiusura per lavori di riallestimento del Museo Archeologico Nazionale di Orvieto, in un’ottica di proficua collaborazione tra musei. </w:t>
      </w:r>
    </w:p>
    <w:p w14:paraId="2F6C3041" w14:textId="77777777" w:rsidR="00CA4508" w:rsidRPr="00CA4508" w:rsidRDefault="00CA4508" w:rsidP="00CA4508">
      <w:pPr>
        <w:spacing w:after="0" w:line="276" w:lineRule="auto"/>
        <w:jc w:val="both"/>
        <w:rPr>
          <w:rFonts w:ascii="Times New Roman" w:hAnsi="Times New Roman" w:cs="Times New Roman"/>
          <w:bCs/>
          <w:color w:val="000000" w:themeColor="text1"/>
          <w:sz w:val="24"/>
          <w:szCs w:val="24"/>
        </w:rPr>
      </w:pPr>
      <w:r w:rsidRPr="00CA4508">
        <w:rPr>
          <w:rFonts w:ascii="Times New Roman" w:hAnsi="Times New Roman" w:cs="Times New Roman"/>
          <w:bCs/>
          <w:color w:val="000000" w:themeColor="text1"/>
          <w:sz w:val="24"/>
          <w:szCs w:val="24"/>
        </w:rPr>
        <w:t>Oltre agli aspetti sto</w:t>
      </w:r>
      <w:r>
        <w:rPr>
          <w:rFonts w:ascii="Times New Roman" w:hAnsi="Times New Roman" w:cs="Times New Roman"/>
          <w:bCs/>
          <w:color w:val="000000" w:themeColor="text1"/>
          <w:sz w:val="24"/>
          <w:szCs w:val="24"/>
        </w:rPr>
        <w:t>rico-artistici, la mostra apre</w:t>
      </w:r>
      <w:r w:rsidRPr="00CA4508">
        <w:rPr>
          <w:rFonts w:ascii="Times New Roman" w:hAnsi="Times New Roman" w:cs="Times New Roman"/>
          <w:bCs/>
          <w:color w:val="000000" w:themeColor="text1"/>
          <w:sz w:val="24"/>
          <w:szCs w:val="24"/>
        </w:rPr>
        <w:t xml:space="preserve"> una riflessione anche sui problemi conservativi che condussero, alla fine degli anni Cinquanta del secolo scorso, alla ben nota stagione dell’asportazione </w:t>
      </w:r>
      <w:r w:rsidRPr="00CA4508">
        <w:rPr>
          <w:rFonts w:ascii="Times New Roman" w:hAnsi="Times New Roman" w:cs="Times New Roman"/>
          <w:bCs/>
          <w:color w:val="000000" w:themeColor="text1"/>
          <w:sz w:val="24"/>
          <w:szCs w:val="24"/>
        </w:rPr>
        <w:lastRenderedPageBreak/>
        <w:t>dei dipinti dal loro contesto originario quale unica soluzione che sembrava allora possibile per evitarne la perdita.</w:t>
      </w:r>
    </w:p>
    <w:p w14:paraId="6483F0E6" w14:textId="77777777" w:rsidR="00CA4508" w:rsidRPr="00CA4508" w:rsidRDefault="00CA4508" w:rsidP="00CA4508">
      <w:pPr>
        <w:spacing w:after="0" w:line="276"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Nell’occasione, è stato</w:t>
      </w:r>
      <w:r w:rsidRPr="00CA4508">
        <w:rPr>
          <w:rFonts w:ascii="Times New Roman" w:hAnsi="Times New Roman" w:cs="Times New Roman"/>
          <w:bCs/>
          <w:color w:val="000000" w:themeColor="text1"/>
          <w:sz w:val="24"/>
          <w:szCs w:val="24"/>
        </w:rPr>
        <w:t xml:space="preserve"> presentato al pubblico il nuovo allestimento della sezione delle tombe dipinte del museo tarquiniese che chi</w:t>
      </w:r>
      <w:r>
        <w:rPr>
          <w:rFonts w:ascii="Times New Roman" w:hAnsi="Times New Roman" w:cs="Times New Roman"/>
          <w:bCs/>
          <w:color w:val="000000" w:themeColor="text1"/>
          <w:sz w:val="24"/>
          <w:szCs w:val="24"/>
        </w:rPr>
        <w:t>ude</w:t>
      </w:r>
      <w:r w:rsidRPr="00CA4508">
        <w:rPr>
          <w:rFonts w:ascii="Times New Roman" w:hAnsi="Times New Roman" w:cs="Times New Roman"/>
          <w:bCs/>
          <w:color w:val="000000" w:themeColor="text1"/>
          <w:sz w:val="24"/>
          <w:szCs w:val="24"/>
        </w:rPr>
        <w:t xml:space="preserve"> l’itinerario della mostra e dove, accanto a quelli delle quattro tombe già esposte </w:t>
      </w:r>
      <w:r w:rsidRPr="00CA4508">
        <w:rPr>
          <w:rFonts w:ascii="Times New Roman" w:hAnsi="Times New Roman" w:cs="Times New Roman"/>
          <w:color w:val="000000" w:themeColor="text1"/>
          <w:sz w:val="24"/>
          <w:szCs w:val="24"/>
        </w:rPr>
        <w:t xml:space="preserve">(tombe del Triclinio, delle Bighe, della Nave e delle Olimpiadi) </w:t>
      </w:r>
      <w:r>
        <w:rPr>
          <w:rFonts w:ascii="Times New Roman" w:hAnsi="Times New Roman" w:cs="Times New Roman"/>
          <w:color w:val="000000" w:themeColor="text1"/>
          <w:sz w:val="24"/>
          <w:szCs w:val="24"/>
        </w:rPr>
        <w:t>sono</w:t>
      </w:r>
      <w:r w:rsidRPr="00CA4508">
        <w:rPr>
          <w:rFonts w:ascii="Times New Roman" w:hAnsi="Times New Roman" w:cs="Times New Roman"/>
          <w:color w:val="000000" w:themeColor="text1"/>
          <w:sz w:val="24"/>
          <w:szCs w:val="24"/>
        </w:rPr>
        <w:t xml:space="preserve"> riallestiti anche i dipinti provenienti dalla tomba Bruschi. </w:t>
      </w:r>
    </w:p>
    <w:p w14:paraId="34BD85BE" w14:textId="77777777" w:rsidR="00CA4508" w:rsidRPr="00CA4508" w:rsidRDefault="00CA4508" w:rsidP="00CA4508">
      <w:pPr>
        <w:spacing w:after="0" w:line="276" w:lineRule="auto"/>
        <w:jc w:val="both"/>
        <w:rPr>
          <w:rFonts w:ascii="Times New Roman" w:hAnsi="Times New Roman" w:cs="Times New Roman"/>
          <w:bCs/>
          <w:color w:val="000000" w:themeColor="text1"/>
          <w:sz w:val="24"/>
          <w:szCs w:val="24"/>
        </w:rPr>
      </w:pPr>
      <w:r w:rsidRPr="00CA4508">
        <w:rPr>
          <w:rFonts w:ascii="Times New Roman" w:hAnsi="Times New Roman" w:cs="Times New Roman"/>
          <w:bCs/>
          <w:color w:val="000000" w:themeColor="text1"/>
          <w:sz w:val="24"/>
          <w:szCs w:val="24"/>
        </w:rPr>
        <w:t>G</w:t>
      </w:r>
      <w:r w:rsidRPr="00CA4508">
        <w:rPr>
          <w:rFonts w:ascii="Times New Roman" w:hAnsi="Times New Roman" w:cs="Times New Roman"/>
          <w:color w:val="000000" w:themeColor="text1"/>
          <w:sz w:val="24"/>
          <w:szCs w:val="24"/>
        </w:rPr>
        <w:t xml:space="preserve">razie agli interventi sull’accessibilità e ai nuovi apparati didattici, </w:t>
      </w:r>
      <w:r>
        <w:rPr>
          <w:rFonts w:ascii="Times New Roman" w:hAnsi="Times New Roman" w:cs="Times New Roman"/>
          <w:color w:val="000000" w:themeColor="text1"/>
          <w:sz w:val="24"/>
          <w:szCs w:val="24"/>
        </w:rPr>
        <w:t>è</w:t>
      </w:r>
      <w:r w:rsidRPr="00CA4508">
        <w:rPr>
          <w:rFonts w:ascii="Times New Roman" w:hAnsi="Times New Roman" w:cs="Times New Roman"/>
          <w:color w:val="000000" w:themeColor="text1"/>
          <w:sz w:val="24"/>
          <w:szCs w:val="24"/>
        </w:rPr>
        <w:t xml:space="preserve"> possibile accedere all’interno delle quattro tombe e avere una visione ravvicinata dei dipinti, mentre un grande</w:t>
      </w:r>
      <w:r>
        <w:rPr>
          <w:rFonts w:ascii="Times New Roman" w:hAnsi="Times New Roman" w:cs="Times New Roman"/>
          <w:color w:val="000000" w:themeColor="text1"/>
          <w:sz w:val="24"/>
          <w:szCs w:val="24"/>
        </w:rPr>
        <w:t xml:space="preserve"> tavolo multimediale, permette</w:t>
      </w:r>
      <w:r w:rsidRPr="00CA4508">
        <w:rPr>
          <w:rFonts w:ascii="Times New Roman" w:hAnsi="Times New Roman" w:cs="Times New Roman"/>
          <w:color w:val="000000" w:themeColor="text1"/>
          <w:sz w:val="24"/>
          <w:szCs w:val="24"/>
        </w:rPr>
        <w:t xml:space="preserve"> di ‘sfogliare’ la storia della pittura funeraria tarquiniese, attraverso l’esemplificazione delle tipologie delle tombe </w:t>
      </w:r>
      <w:r w:rsidRPr="00CA4508">
        <w:rPr>
          <w:rFonts w:ascii="Times New Roman" w:hAnsi="Times New Roman" w:cs="Times New Roman"/>
          <w:strike/>
          <w:color w:val="000000" w:themeColor="text1"/>
          <w:sz w:val="24"/>
          <w:szCs w:val="24"/>
        </w:rPr>
        <w:t>e</w:t>
      </w:r>
      <w:r w:rsidRPr="00CA4508">
        <w:rPr>
          <w:rFonts w:ascii="Times New Roman" w:hAnsi="Times New Roman" w:cs="Times New Roman"/>
          <w:color w:val="000000" w:themeColor="text1"/>
          <w:sz w:val="24"/>
          <w:szCs w:val="24"/>
        </w:rPr>
        <w:t xml:space="preserve"> con le principali iconografie</w:t>
      </w:r>
      <w:r w:rsidRPr="00CA4508">
        <w:rPr>
          <w:rFonts w:ascii="Times New Roman" w:hAnsi="Times New Roman" w:cs="Times New Roman"/>
          <w:bCs/>
          <w:color w:val="000000" w:themeColor="text1"/>
          <w:sz w:val="24"/>
          <w:szCs w:val="24"/>
        </w:rPr>
        <w:t>, la tecnica esecutiva e i materiai impiegati, le strategie conservative del passato e quelle attuali.</w:t>
      </w:r>
    </w:p>
    <w:p w14:paraId="65C089DC" w14:textId="77777777" w:rsidR="00CA4508" w:rsidRPr="00CA4508" w:rsidRDefault="00CA4508" w:rsidP="00CA4508">
      <w:pPr>
        <w:pStyle w:val="wp-block-paragraph"/>
        <w:spacing w:before="0" w:beforeAutospacing="0" w:after="0" w:afterAutospacing="0" w:line="276" w:lineRule="auto"/>
        <w:jc w:val="both"/>
      </w:pPr>
    </w:p>
    <w:p w14:paraId="2675B3D6" w14:textId="77777777" w:rsidR="00CA4508" w:rsidRPr="00CA4508" w:rsidRDefault="00CA4508" w:rsidP="00CA4508">
      <w:pPr>
        <w:pStyle w:val="wp-block-paragraph"/>
        <w:spacing w:before="0" w:beforeAutospacing="0" w:after="0" w:afterAutospacing="0" w:line="276" w:lineRule="auto"/>
        <w:jc w:val="both"/>
      </w:pPr>
    </w:p>
    <w:p w14:paraId="0C80D656" w14:textId="77777777" w:rsidR="00CA4508" w:rsidRPr="00CA4508" w:rsidRDefault="00CA4508" w:rsidP="00CA4508">
      <w:pPr>
        <w:pStyle w:val="wp-block-paragraph"/>
        <w:spacing w:before="0" w:beforeAutospacing="0" w:after="0" w:afterAutospacing="0" w:line="276" w:lineRule="auto"/>
        <w:jc w:val="both"/>
      </w:pPr>
    </w:p>
    <w:sectPr w:rsidR="00CA4508" w:rsidRPr="00CA4508" w:rsidSect="001213A1">
      <w:pgSz w:w="11906" w:h="16838"/>
      <w:pgMar w:top="102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D71C3C"/>
    <w:multiLevelType w:val="multilevel"/>
    <w:tmpl w:val="C78A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57561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76"/>
    <w:rsid w:val="001213A1"/>
    <w:rsid w:val="00216776"/>
    <w:rsid w:val="00217166"/>
    <w:rsid w:val="00544BED"/>
    <w:rsid w:val="00640A00"/>
    <w:rsid w:val="00651DD3"/>
    <w:rsid w:val="00A0688C"/>
    <w:rsid w:val="00CA4508"/>
    <w:rsid w:val="00FA2B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CE91"/>
  <w15:chartTrackingRefBased/>
  <w15:docId w15:val="{DF770C38-BB12-4D2A-89FA-B337F2A18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CA450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A2BA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rsid w:val="00CA4508"/>
    <w:rPr>
      <w:rFonts w:ascii="Times New Roman" w:eastAsia="Times New Roman" w:hAnsi="Times New Roman" w:cs="Times New Roman"/>
      <w:b/>
      <w:bCs/>
      <w:sz w:val="27"/>
      <w:szCs w:val="27"/>
      <w:lang w:eastAsia="it-IT"/>
    </w:rPr>
  </w:style>
  <w:style w:type="paragraph" w:customStyle="1" w:styleId="has-text-align-center">
    <w:name w:val="has-text-align-center"/>
    <w:basedOn w:val="Normale"/>
    <w:rsid w:val="00CA450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A4508"/>
    <w:rPr>
      <w:b/>
      <w:bCs/>
    </w:rPr>
  </w:style>
  <w:style w:type="character" w:styleId="Collegamentoipertestuale">
    <w:name w:val="Hyperlink"/>
    <w:basedOn w:val="Carpredefinitoparagrafo"/>
    <w:uiPriority w:val="99"/>
    <w:semiHidden/>
    <w:unhideWhenUsed/>
    <w:rsid w:val="00CA4508"/>
    <w:rPr>
      <w:color w:val="0000FF"/>
      <w:u w:val="single"/>
    </w:rPr>
  </w:style>
  <w:style w:type="paragraph" w:customStyle="1" w:styleId="wp-block-paragraph">
    <w:name w:val="wp-block-paragraph"/>
    <w:basedOn w:val="Normale"/>
    <w:rsid w:val="00CA450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CA45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093410">
      <w:bodyDiv w:val="1"/>
      <w:marLeft w:val="0"/>
      <w:marRight w:val="0"/>
      <w:marTop w:val="0"/>
      <w:marBottom w:val="0"/>
      <w:divBdr>
        <w:top w:val="none" w:sz="0" w:space="0" w:color="auto"/>
        <w:left w:val="none" w:sz="0" w:space="0" w:color="auto"/>
        <w:bottom w:val="none" w:sz="0" w:space="0" w:color="auto"/>
        <w:right w:val="none" w:sz="0" w:space="0" w:color="auto"/>
      </w:divBdr>
    </w:div>
    <w:div w:id="295069615">
      <w:bodyDiv w:val="1"/>
      <w:marLeft w:val="0"/>
      <w:marRight w:val="0"/>
      <w:marTop w:val="0"/>
      <w:marBottom w:val="0"/>
      <w:divBdr>
        <w:top w:val="none" w:sz="0" w:space="0" w:color="auto"/>
        <w:left w:val="none" w:sz="0" w:space="0" w:color="auto"/>
        <w:bottom w:val="none" w:sz="0" w:space="0" w:color="auto"/>
        <w:right w:val="none" w:sz="0" w:space="0" w:color="auto"/>
      </w:divBdr>
    </w:div>
    <w:div w:id="858423186">
      <w:bodyDiv w:val="1"/>
      <w:marLeft w:val="0"/>
      <w:marRight w:val="0"/>
      <w:marTop w:val="0"/>
      <w:marBottom w:val="0"/>
      <w:divBdr>
        <w:top w:val="none" w:sz="0" w:space="0" w:color="auto"/>
        <w:left w:val="none" w:sz="0" w:space="0" w:color="auto"/>
        <w:bottom w:val="none" w:sz="0" w:space="0" w:color="auto"/>
        <w:right w:val="none" w:sz="0" w:space="0" w:color="auto"/>
      </w:divBdr>
    </w:div>
    <w:div w:id="933250124">
      <w:bodyDiv w:val="1"/>
      <w:marLeft w:val="0"/>
      <w:marRight w:val="0"/>
      <w:marTop w:val="0"/>
      <w:marBottom w:val="0"/>
      <w:divBdr>
        <w:top w:val="none" w:sz="0" w:space="0" w:color="auto"/>
        <w:left w:val="none" w:sz="0" w:space="0" w:color="auto"/>
        <w:bottom w:val="none" w:sz="0" w:space="0" w:color="auto"/>
        <w:right w:val="none" w:sz="0" w:space="0" w:color="auto"/>
      </w:divBdr>
      <w:divsChild>
        <w:div w:id="586156928">
          <w:marLeft w:val="0"/>
          <w:marRight w:val="0"/>
          <w:marTop w:val="0"/>
          <w:marBottom w:val="0"/>
          <w:divBdr>
            <w:top w:val="none" w:sz="0" w:space="0" w:color="auto"/>
            <w:left w:val="none" w:sz="0" w:space="0" w:color="auto"/>
            <w:bottom w:val="none" w:sz="0" w:space="0" w:color="auto"/>
            <w:right w:val="none" w:sz="0" w:space="0" w:color="auto"/>
          </w:divBdr>
          <w:divsChild>
            <w:div w:id="10366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67112">
      <w:bodyDiv w:val="1"/>
      <w:marLeft w:val="0"/>
      <w:marRight w:val="0"/>
      <w:marTop w:val="0"/>
      <w:marBottom w:val="0"/>
      <w:divBdr>
        <w:top w:val="none" w:sz="0" w:space="0" w:color="auto"/>
        <w:left w:val="none" w:sz="0" w:space="0" w:color="auto"/>
        <w:bottom w:val="none" w:sz="0" w:space="0" w:color="auto"/>
        <w:right w:val="none" w:sz="0" w:space="0" w:color="auto"/>
      </w:divBdr>
    </w:div>
    <w:div w:id="201236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1221</Words>
  <Characters>6962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Tiraterra</dc:creator>
  <cp:keywords/>
  <dc:description/>
  <cp:lastModifiedBy>Leader Comunicazione</cp:lastModifiedBy>
  <cp:revision>5</cp:revision>
  <dcterms:created xsi:type="dcterms:W3CDTF">2026-08-31T09:49:00Z</dcterms:created>
  <dcterms:modified xsi:type="dcterms:W3CDTF">2026-09-18T11:43:00Z</dcterms:modified>
</cp:coreProperties>
</file>