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89BB3" w14:textId="77777777" w:rsidR="0029267C" w:rsidRDefault="0029267C" w:rsidP="0029267C">
      <w:pPr>
        <w:pStyle w:val="x12ofw9d"/>
      </w:pPr>
    </w:p>
    <w:p w14:paraId="679A6616" w14:textId="6781DDAF" w:rsidR="0029267C" w:rsidRPr="0029267C" w:rsidRDefault="0029267C" w:rsidP="0029267C">
      <w:pPr>
        <w:pStyle w:val="Titolo1"/>
        <w:shd w:val="clear" w:color="auto" w:fill="FCFCFC"/>
        <w:jc w:val="center"/>
        <w:rPr>
          <w:rFonts w:ascii="Times New Roman" w:hAnsi="Times New Roman" w:cs="Times New Roman"/>
          <w:b/>
          <w:color w:val="auto"/>
          <w:kern w:val="36"/>
          <w:sz w:val="24"/>
          <w:szCs w:val="24"/>
          <w:lang w:eastAsia="it-IT"/>
        </w:rPr>
      </w:pPr>
      <w:r w:rsidRPr="0029267C">
        <w:rPr>
          <w:rFonts w:ascii="Times New Roman" w:hAnsi="Times New Roman" w:cs="Times New Roman"/>
          <w:b/>
          <w:bCs/>
          <w:color w:val="auto"/>
          <w:sz w:val="24"/>
          <w:szCs w:val="24"/>
        </w:rPr>
        <w:t>L’Istituto Villa Adriana e Villa</w:t>
      </w:r>
      <w:r>
        <w:rPr>
          <w:rFonts w:ascii="Times New Roman" w:hAnsi="Times New Roman" w:cs="Times New Roman"/>
          <w:b/>
          <w:bCs/>
          <w:color w:val="auto"/>
          <w:sz w:val="24"/>
          <w:szCs w:val="24"/>
        </w:rPr>
        <w:t xml:space="preserve"> </w:t>
      </w:r>
      <w:r w:rsidRPr="0029267C">
        <w:rPr>
          <w:rFonts w:ascii="Times New Roman" w:hAnsi="Times New Roman" w:cs="Times New Roman"/>
          <w:b/>
          <w:bCs/>
          <w:color w:val="auto"/>
          <w:sz w:val="24"/>
          <w:szCs w:val="24"/>
        </w:rPr>
        <w:t xml:space="preserve">d’Este alla XXVIII Borsa Mediterranea del Turismo Archeologico </w:t>
      </w:r>
      <w:r>
        <w:rPr>
          <w:rFonts w:ascii="Times New Roman" w:hAnsi="Times New Roman" w:cs="Times New Roman"/>
          <w:b/>
          <w:bCs/>
          <w:color w:val="auto"/>
          <w:sz w:val="24"/>
          <w:szCs w:val="24"/>
        </w:rPr>
        <w:t>di</w:t>
      </w:r>
      <w:r w:rsidRPr="0029267C">
        <w:rPr>
          <w:rFonts w:ascii="Times New Roman" w:hAnsi="Times New Roman" w:cs="Times New Roman"/>
          <w:b/>
          <w:bCs/>
          <w:color w:val="auto"/>
          <w:sz w:val="24"/>
          <w:szCs w:val="24"/>
        </w:rPr>
        <w:t xml:space="preserve"> Paestum: </w:t>
      </w:r>
      <w:r w:rsidRPr="0029267C">
        <w:rPr>
          <w:rFonts w:ascii="Times New Roman" w:hAnsi="Times New Roman" w:cs="Times New Roman"/>
          <w:b/>
          <w:color w:val="auto"/>
          <w:sz w:val="24"/>
          <w:szCs w:val="24"/>
        </w:rPr>
        <w:t xml:space="preserve">ricerca, tutela e </w:t>
      </w:r>
      <w:r>
        <w:rPr>
          <w:rFonts w:ascii="Times New Roman" w:hAnsi="Times New Roman" w:cs="Times New Roman"/>
          <w:b/>
          <w:color w:val="auto"/>
          <w:sz w:val="24"/>
          <w:szCs w:val="24"/>
        </w:rPr>
        <w:t>nuove prospettive per il</w:t>
      </w:r>
      <w:r w:rsidRPr="0029267C">
        <w:rPr>
          <w:rFonts w:ascii="Times New Roman" w:hAnsi="Times New Roman" w:cs="Times New Roman"/>
          <w:b/>
          <w:color w:val="auto"/>
          <w:sz w:val="24"/>
          <w:szCs w:val="24"/>
        </w:rPr>
        <w:t xml:space="preserve"> patrimonio tiburtino</w:t>
      </w:r>
    </w:p>
    <w:p w14:paraId="294B4EF5" w14:textId="77777777" w:rsidR="0029267C" w:rsidRPr="00D56EBA" w:rsidRDefault="0029267C" w:rsidP="0029267C">
      <w:pPr>
        <w:adjustRightInd w:val="0"/>
        <w:snapToGrid w:val="0"/>
        <w:jc w:val="center"/>
        <w:rPr>
          <w:rFonts w:asciiTheme="majorBidi" w:hAnsiTheme="majorBidi" w:cstheme="majorBidi"/>
          <w:b/>
          <w:bCs/>
        </w:rPr>
      </w:pPr>
    </w:p>
    <w:p w14:paraId="3E33C713" w14:textId="1324D592" w:rsidR="0029267C" w:rsidRPr="00896691" w:rsidRDefault="0029267C" w:rsidP="0029267C">
      <w:pPr>
        <w:pStyle w:val="x12ofw9d"/>
        <w:spacing w:before="120" w:beforeAutospacing="0" w:after="120" w:afterAutospacing="0"/>
        <w:jc w:val="both"/>
        <w:rPr>
          <w:sz w:val="23"/>
          <w:szCs w:val="23"/>
        </w:rPr>
      </w:pPr>
      <w:r w:rsidRPr="00896691">
        <w:rPr>
          <w:sz w:val="23"/>
          <w:szCs w:val="23"/>
        </w:rPr>
        <w:t xml:space="preserve">L’Istituto autonomo Villa Adriana e Villa d’Este (VILLÆ) parteciperà alla </w:t>
      </w:r>
      <w:r w:rsidRPr="00896691">
        <w:rPr>
          <w:b/>
          <w:sz w:val="23"/>
          <w:szCs w:val="23"/>
        </w:rPr>
        <w:t>XXVIII Borsa Mediterranea del Turismo Archeologico (BMTA)</w:t>
      </w:r>
      <w:r w:rsidRPr="00896691">
        <w:rPr>
          <w:sz w:val="23"/>
          <w:szCs w:val="23"/>
        </w:rPr>
        <w:t xml:space="preserve">, in programma dal 29 ottobre al 1° novembre 2026 presso il </w:t>
      </w:r>
      <w:proofErr w:type="spellStart"/>
      <w:r w:rsidRPr="00896691">
        <w:rPr>
          <w:sz w:val="23"/>
          <w:szCs w:val="23"/>
        </w:rPr>
        <w:t>Next</w:t>
      </w:r>
      <w:proofErr w:type="spellEnd"/>
      <w:r w:rsidRPr="00896691">
        <w:rPr>
          <w:sz w:val="23"/>
          <w:szCs w:val="23"/>
        </w:rPr>
        <w:t xml:space="preserve"> – ex Tabacchificio a Paestum (Salerno), uno dei principali appuntamenti intern</w:t>
      </w:r>
      <w:bookmarkStart w:id="0" w:name="_GoBack"/>
      <w:bookmarkEnd w:id="0"/>
      <w:r w:rsidRPr="00896691">
        <w:rPr>
          <w:sz w:val="23"/>
          <w:szCs w:val="23"/>
        </w:rPr>
        <w:t xml:space="preserve">azionali dedicati alla promozione del patrimonio archeologico e al dialogo tra ricerca, cultura e turismo. </w:t>
      </w:r>
    </w:p>
    <w:p w14:paraId="2AFD2B63" w14:textId="1FBC290A" w:rsidR="0029267C" w:rsidRPr="00896691" w:rsidRDefault="0029267C" w:rsidP="0029267C">
      <w:pPr>
        <w:pStyle w:val="x12ofw9d"/>
        <w:spacing w:before="120" w:beforeAutospacing="0" w:after="120" w:afterAutospacing="0"/>
        <w:jc w:val="both"/>
        <w:rPr>
          <w:sz w:val="23"/>
          <w:szCs w:val="23"/>
        </w:rPr>
      </w:pPr>
      <w:r w:rsidRPr="00896691">
        <w:rPr>
          <w:sz w:val="23"/>
          <w:szCs w:val="23"/>
        </w:rPr>
        <w:t xml:space="preserve">Nel corso della manifestazione, le VILLÆ saranno protagoniste di un doppio incontro scientifico, organizzato in sinergia con la Direzione generale Musei del Ministero della Cultura, in programma sabato 31 ottobre 2026, dalle 16.40 alle 17.30, presso la sala incontri del Ministero della Cultura. Il primo appuntamento, dal titolo </w:t>
      </w:r>
      <w:r w:rsidRPr="00896691">
        <w:rPr>
          <w:rStyle w:val="Enfasigrassetto"/>
          <w:rFonts w:eastAsiaTheme="majorEastAsia"/>
          <w:sz w:val="23"/>
          <w:szCs w:val="23"/>
        </w:rPr>
        <w:t>“Dallo scavo della Basilica al restauro del complesso monumentale: ricerca, tutela e valorizzazione del Santuario di Ercole Vincitore”</w:t>
      </w:r>
      <w:r w:rsidRPr="00896691">
        <w:rPr>
          <w:sz w:val="23"/>
          <w:szCs w:val="23"/>
        </w:rPr>
        <w:t xml:space="preserve">, sarà dedicato alle attività di ricerca e agli interventi che contribuiscono ad approfondire la conoscenza di uno dei più significativi luoghi di culto dell’antichità nel territorio tiburtino. A seguire, l’incontro </w:t>
      </w:r>
      <w:r w:rsidRPr="00896691">
        <w:rPr>
          <w:rStyle w:val="Enfasigrassetto"/>
          <w:rFonts w:eastAsiaTheme="majorEastAsia"/>
          <w:sz w:val="23"/>
          <w:szCs w:val="23"/>
        </w:rPr>
        <w:t>“Conoscere per tutelare e valorizzare: la ricerca archeologica a Villa Adriana tra nuovi scavi, manutenzione e nuovi percorsi di fruizione”</w:t>
      </w:r>
      <w:r w:rsidRPr="00896691">
        <w:rPr>
          <w:sz w:val="23"/>
          <w:szCs w:val="23"/>
        </w:rPr>
        <w:t xml:space="preserve"> offrirà uno sguardo sulle attività che interessano il sito UNESCO, mettendo in luce il ruolo della ricerca archeologica nell’ampliamento delle conoscenze, nella conservazione del patrimonio e nella progettazione delle modalità di visita.</w:t>
      </w:r>
    </w:p>
    <w:p w14:paraId="4D7640A4" w14:textId="4F0BA009" w:rsidR="0029267C" w:rsidRPr="00896691" w:rsidRDefault="0029267C" w:rsidP="0029267C">
      <w:pPr>
        <w:pStyle w:val="x12ofw9d"/>
        <w:spacing w:before="120" w:beforeAutospacing="0" w:after="120" w:afterAutospacing="0"/>
        <w:jc w:val="both"/>
        <w:rPr>
          <w:sz w:val="23"/>
          <w:szCs w:val="23"/>
        </w:rPr>
      </w:pPr>
      <w:r w:rsidRPr="00896691">
        <w:rPr>
          <w:sz w:val="23"/>
          <w:szCs w:val="23"/>
        </w:rPr>
        <w:t xml:space="preserve">Per l’intera durata della BMTA, le VILLÆ saranno, inoltre, presenti con un proprio </w:t>
      </w:r>
      <w:r w:rsidRPr="00896691">
        <w:rPr>
          <w:b/>
          <w:sz w:val="23"/>
          <w:szCs w:val="23"/>
        </w:rPr>
        <w:t>stand espositivo</w:t>
      </w:r>
      <w:r w:rsidRPr="00896691">
        <w:rPr>
          <w:sz w:val="23"/>
          <w:szCs w:val="23"/>
        </w:rPr>
        <w:t>, dove i visitatori potranno ricevere brochure e materiali informativi per conoscere da vicino le attività dell’Istituto, i progetti in corso e le opportunità di scoperta dei suoi siti. La partecipazione alla Borsa rappresenta così un’occasione per rafforzare l’incontro con studiosi, operatori culturali e turistici e pubblico, promuovendo una visione del patrimonio archeologico come risorsa in grado di produrre conoscenza, stimolare nuove esperienze e creare valore per il territorio.</w:t>
      </w:r>
    </w:p>
    <w:p w14:paraId="0C0761CD" w14:textId="2A52D84E" w:rsidR="0015585B" w:rsidRPr="00896691" w:rsidRDefault="0015585B" w:rsidP="0029267C">
      <w:pPr>
        <w:pStyle w:val="x12ofw9d"/>
        <w:spacing w:before="120" w:beforeAutospacing="0" w:after="120" w:afterAutospacing="0"/>
        <w:jc w:val="both"/>
        <w:rPr>
          <w:sz w:val="23"/>
          <w:szCs w:val="23"/>
        </w:rPr>
      </w:pPr>
      <w:r w:rsidRPr="00896691">
        <w:rPr>
          <w:sz w:val="23"/>
          <w:szCs w:val="23"/>
        </w:rPr>
        <w:t xml:space="preserve">Il direttore dell’Istituto, Alberto Samonà, parteciperà anche alla tavola rotonda su “Modelli di </w:t>
      </w:r>
      <w:proofErr w:type="spellStart"/>
      <w:r w:rsidRPr="00896691">
        <w:rPr>
          <w:sz w:val="23"/>
          <w:szCs w:val="23"/>
        </w:rPr>
        <w:t>governance</w:t>
      </w:r>
      <w:proofErr w:type="spellEnd"/>
      <w:r w:rsidRPr="00896691">
        <w:rPr>
          <w:sz w:val="23"/>
          <w:szCs w:val="23"/>
        </w:rPr>
        <w:t xml:space="preserve">, fondazioni archeologiche e parchi/musei autonomi a confronto”, in programma sempre sabato 31 ottobre, alle ore 12, presso la Sala Velia dell’ex Tabacchificio. </w:t>
      </w:r>
    </w:p>
    <w:p w14:paraId="4C9ABEF3" w14:textId="27B26A65" w:rsidR="0029267C" w:rsidRPr="00896691" w:rsidRDefault="0029267C" w:rsidP="0029267C">
      <w:pPr>
        <w:pStyle w:val="x12ofw9d"/>
        <w:spacing w:before="120" w:beforeAutospacing="0" w:after="120" w:afterAutospacing="0"/>
        <w:jc w:val="both"/>
        <w:rPr>
          <w:sz w:val="23"/>
          <w:szCs w:val="23"/>
        </w:rPr>
      </w:pPr>
      <w:r w:rsidRPr="00896691">
        <w:rPr>
          <w:sz w:val="23"/>
          <w:szCs w:val="23"/>
        </w:rPr>
        <w:t>Organizzata sotto l’egida del Ministero della Cultura, con la collaborazione del Dipartimento per la Valorizzazione del Patrimonio Culturale (</w:t>
      </w:r>
      <w:proofErr w:type="spellStart"/>
      <w:r w:rsidRPr="00896691">
        <w:rPr>
          <w:sz w:val="23"/>
          <w:szCs w:val="23"/>
        </w:rPr>
        <w:t>DiVA</w:t>
      </w:r>
      <w:proofErr w:type="spellEnd"/>
      <w:r w:rsidRPr="00896691">
        <w:rPr>
          <w:sz w:val="23"/>
          <w:szCs w:val="23"/>
        </w:rPr>
        <w:t>) e l’Istituto Centrale per la Valorizzazione Economica e la Promozione del Patrimonio Culturale (IC-VEPP), la BMTA costituisce un’importante piattaforma internazionale di confronto sui temi della tutela, della valorizzazione e della promozione del patrimonio archeologico.</w:t>
      </w:r>
    </w:p>
    <w:p w14:paraId="46024076" w14:textId="7FAC5BDA" w:rsidR="00892171" w:rsidRPr="00896691" w:rsidRDefault="0029267C" w:rsidP="0015585B">
      <w:pPr>
        <w:pStyle w:val="x12ofw9d"/>
        <w:spacing w:before="120" w:beforeAutospacing="0" w:after="120" w:afterAutospacing="0"/>
        <w:jc w:val="both"/>
        <w:rPr>
          <w:b/>
          <w:sz w:val="23"/>
          <w:szCs w:val="23"/>
        </w:rPr>
      </w:pPr>
      <w:r w:rsidRPr="00896691">
        <w:rPr>
          <w:rStyle w:val="Enfasigrassetto"/>
          <w:rFonts w:eastAsiaTheme="majorEastAsia"/>
          <w:b w:val="0"/>
          <w:sz w:val="23"/>
          <w:szCs w:val="23"/>
        </w:rPr>
        <w:t xml:space="preserve">«Partecipare alla Borsa Mediterranea del Turismo Archeologico significa portare all’attenzione di un pubblico internazionale non soltanto la straordinaria ricchezza dei nostri siti, ma anche il lavoro quotidiano che permette di conoscerli, proteggerli e renderli sempre più accessibili </w:t>
      </w:r>
      <w:r w:rsidRPr="00896691">
        <w:rPr>
          <w:rStyle w:val="Enfasigrassetto"/>
          <w:rFonts w:eastAsiaTheme="majorEastAsia"/>
          <w:sz w:val="23"/>
          <w:szCs w:val="23"/>
        </w:rPr>
        <w:t>– dichiara il Direttore delle VILLÆ, Alberto Samonà –</w:t>
      </w:r>
      <w:r w:rsidRPr="00896691">
        <w:rPr>
          <w:rStyle w:val="Enfasigrassetto"/>
          <w:rFonts w:eastAsiaTheme="majorEastAsia"/>
          <w:b w:val="0"/>
          <w:sz w:val="23"/>
          <w:szCs w:val="23"/>
        </w:rPr>
        <w:t>. Le nuove indagini a Villa Adriana e le attività di scavo e restauro al Santuario di Ercole Vincitore raccontano un patrimonio che continua a rivelare aspetti inediti della propria storia. È proprio attraverso la ricerca scientifica che possiamo costruire nuove opportunità di tutela e valorizzazione, trasformando le scoperte in occasioni di conoscenza e i luoghi della cultura in spazi di partecipazione e condivisione. Il nostro obiettivo è fare in modo che la ricchezza del patrimonio tiburtino possa essere compresa, vissuta e trasmessa alle generazioni future, rafforzando al tempo stesso il legame tra i siti, il territorio e le comunità».</w:t>
      </w:r>
    </w:p>
    <w:sectPr w:rsidR="00892171" w:rsidRPr="00896691" w:rsidSect="0042093E">
      <w:headerReference w:type="default" r:id="rId7"/>
      <w:footerReference w:type="default" r:id="rId8"/>
      <w:pgSz w:w="11906" w:h="16838"/>
      <w:pgMar w:top="308" w:right="1080" w:bottom="1440" w:left="1080" w:header="142"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E4023" w14:textId="77777777" w:rsidR="00FB1C69" w:rsidRDefault="00FB1C69" w:rsidP="000F5645">
      <w:r>
        <w:separator/>
      </w:r>
    </w:p>
  </w:endnote>
  <w:endnote w:type="continuationSeparator" w:id="0">
    <w:p w14:paraId="31B63BAE" w14:textId="77777777" w:rsidR="00FB1C69" w:rsidRDefault="00FB1C69" w:rsidP="000F5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225F7" w14:textId="77777777" w:rsidR="0015585B" w:rsidRPr="00D56EBA" w:rsidRDefault="0015585B" w:rsidP="0015585B">
    <w:pPr>
      <w:pStyle w:val="paragraph"/>
      <w:shd w:val="clear" w:color="auto" w:fill="FFFFFF"/>
      <w:adjustRightInd w:val="0"/>
      <w:snapToGrid w:val="0"/>
      <w:spacing w:before="0" w:beforeAutospacing="0" w:after="0" w:afterAutospacing="0"/>
      <w:jc w:val="both"/>
      <w:textAlignment w:val="baseline"/>
      <w:rPr>
        <w:rFonts w:asciiTheme="majorBidi" w:hAnsiTheme="majorBidi" w:cstheme="majorBidi"/>
      </w:rPr>
    </w:pPr>
    <w:r w:rsidRPr="00D56EBA">
      <w:rPr>
        <w:rStyle w:val="normaltextrun"/>
        <w:rFonts w:asciiTheme="majorBidi" w:eastAsiaTheme="majorEastAsia" w:hAnsiTheme="majorBidi" w:cstheme="majorBidi"/>
        <w:b/>
        <w:bCs/>
      </w:rPr>
      <w:t>Contatti:</w:t>
    </w:r>
    <w:r w:rsidRPr="00D56EBA">
      <w:rPr>
        <w:rStyle w:val="scxw30193932"/>
        <w:rFonts w:asciiTheme="majorBidi" w:eastAsiaTheme="majorEastAsia" w:hAnsiTheme="majorBidi" w:cstheme="majorBidi"/>
      </w:rPr>
      <w:t> </w:t>
    </w:r>
    <w:r w:rsidRPr="00D56EBA">
      <w:rPr>
        <w:rFonts w:asciiTheme="majorBidi" w:hAnsiTheme="majorBidi" w:cstheme="majorBidi"/>
      </w:rPr>
      <w:br/>
    </w:r>
    <w:r w:rsidRPr="00D56EBA">
      <w:rPr>
        <w:rStyle w:val="normaltextrun"/>
        <w:rFonts w:asciiTheme="majorBidi" w:eastAsiaTheme="majorEastAsia" w:hAnsiTheme="majorBidi" w:cstheme="majorBidi"/>
      </w:rPr>
      <w:t>va-ve@cultura.gov.it</w:t>
    </w:r>
  </w:p>
  <w:p w14:paraId="3D757032" w14:textId="77777777" w:rsidR="000F5645" w:rsidRDefault="000F5645">
    <w:pPr>
      <w:rPr>
        <w:rFonts w:ascii="Garamond" w:hAnsi="Garamond" w:cs="Garamond"/>
        <w:color w:val="000000"/>
        <w:sz w:val="22"/>
        <w:szCs w:val="22"/>
      </w:rPr>
    </w:pPr>
  </w:p>
  <w:p w14:paraId="5D5E139E" w14:textId="77777777" w:rsidR="000F5645" w:rsidRDefault="000F5645">
    <w:pP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675D6" w14:textId="77777777" w:rsidR="00FB1C69" w:rsidRDefault="00FB1C69" w:rsidP="000F5645">
      <w:r>
        <w:separator/>
      </w:r>
    </w:p>
  </w:footnote>
  <w:footnote w:type="continuationSeparator" w:id="0">
    <w:p w14:paraId="6C07766F" w14:textId="77777777" w:rsidR="00FB1C69" w:rsidRDefault="00FB1C69" w:rsidP="000F5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EABB0" w14:textId="77777777" w:rsidR="000F5645" w:rsidRPr="000D2C45" w:rsidRDefault="000F5645">
    <w:pPr>
      <w:pStyle w:val="Rigadintestazione"/>
      <w:jc w:val="center"/>
    </w:pPr>
  </w:p>
  <w:p w14:paraId="5FAD3748" w14:textId="77777777" w:rsidR="000F5645" w:rsidRDefault="000F5645">
    <w:pPr>
      <w:pStyle w:val="Rigadintestazione"/>
      <w:jc w:val="center"/>
    </w:pPr>
  </w:p>
  <w:p w14:paraId="132EB5C7" w14:textId="77777777" w:rsidR="000F5645" w:rsidRDefault="000F5645">
    <w:pPr>
      <w:pStyle w:val="Rigadintestazione"/>
      <w:jc w:val="center"/>
    </w:pPr>
    <w:r>
      <w:rPr>
        <w:noProof/>
        <w:lang w:eastAsia="it-IT"/>
      </w:rPr>
      <w:drawing>
        <wp:anchor distT="0" distB="360045" distL="114300" distR="120650" simplePos="0" relativeHeight="251660288" behindDoc="1" locked="0" layoutInCell="1" allowOverlap="1" wp14:anchorId="434BBB0C" wp14:editId="4B53A4B5">
          <wp:simplePos x="0" y="0"/>
          <wp:positionH relativeFrom="column">
            <wp:posOffset>3162935</wp:posOffset>
          </wp:positionH>
          <wp:positionV relativeFrom="paragraph">
            <wp:posOffset>141605</wp:posOffset>
          </wp:positionV>
          <wp:extent cx="1095375" cy="457200"/>
          <wp:effectExtent l="0" t="0" r="9525" b="0"/>
          <wp:wrapSquare wrapText="bothSides"/>
          <wp:docPr id="10057828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2"/>
                  <pic:cNvPicPr>
                    <a:picLocks noChangeAspect="1" noChangeArrowheads="1"/>
                  </pic:cNvPicPr>
                </pic:nvPicPr>
                <pic:blipFill>
                  <a:blip r:embed="rId1">
                    <a:extLst>
                      <a:ext uri="{28A0092B-C50C-407E-A947-70E740481C1C}">
                        <a14:useLocalDpi xmlns:a14="http://schemas.microsoft.com/office/drawing/2010/main" val="0"/>
                      </a:ext>
                    </a:extLst>
                  </a:blip>
                  <a:srcRect l="-23" t="-55" r="-23" b="-55"/>
                  <a:stretch>
                    <a:fillRect/>
                  </a:stretch>
                </pic:blipFill>
                <pic:spPr bwMode="auto">
                  <a:xfrm>
                    <a:off x="0" y="0"/>
                    <a:ext cx="1095375" cy="457200"/>
                  </a:xfrm>
                  <a:prstGeom prst="rect">
                    <a:avLst/>
                  </a:prstGeom>
                  <a:noFill/>
                  <a:ln>
                    <a:noFill/>
                  </a:ln>
                </pic:spPr>
              </pic:pic>
            </a:graphicData>
          </a:graphic>
        </wp:anchor>
      </w:drawing>
    </w:r>
    <w:r>
      <w:rPr>
        <w:noProof/>
        <w:lang w:eastAsia="it-IT"/>
      </w:rPr>
      <w:drawing>
        <wp:anchor distT="0" distB="0" distL="114300" distR="116840" simplePos="0" relativeHeight="251659264" behindDoc="0" locked="0" layoutInCell="1" allowOverlap="1" wp14:anchorId="62E29C6D" wp14:editId="2A97F849">
          <wp:simplePos x="0" y="0"/>
          <wp:positionH relativeFrom="column">
            <wp:posOffset>1752600</wp:posOffset>
          </wp:positionH>
          <wp:positionV relativeFrom="paragraph">
            <wp:posOffset>170180</wp:posOffset>
          </wp:positionV>
          <wp:extent cx="1314450" cy="428625"/>
          <wp:effectExtent l="0" t="0" r="0" b="9525"/>
          <wp:wrapTight wrapText="bothSides">
            <wp:wrapPolygon edited="0">
              <wp:start x="0" y="0"/>
              <wp:lineTo x="0" y="21120"/>
              <wp:lineTo x="21287" y="21120"/>
              <wp:lineTo x="21287" y="0"/>
              <wp:lineTo x="0" y="0"/>
            </wp:wrapPolygon>
          </wp:wrapTight>
          <wp:docPr id="6843297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4450" cy="428625"/>
                  </a:xfrm>
                  <a:prstGeom prst="rect">
                    <a:avLst/>
                  </a:prstGeom>
                  <a:noFill/>
                  <a:ln>
                    <a:noFill/>
                  </a:ln>
                </pic:spPr>
              </pic:pic>
            </a:graphicData>
          </a:graphic>
        </wp:anchor>
      </w:drawing>
    </w:r>
  </w:p>
  <w:p w14:paraId="020046FF" w14:textId="77777777" w:rsidR="000F5645" w:rsidRDefault="000F5645" w:rsidP="00A36A41">
    <w:pPr>
      <w:pStyle w:val="Rigadintestazione"/>
      <w:jc w:val="center"/>
    </w:pPr>
  </w:p>
  <w:p w14:paraId="5FB064D9" w14:textId="77777777" w:rsidR="000F5645" w:rsidRDefault="000F5645" w:rsidP="00A36A41">
    <w:pPr>
      <w:pStyle w:val="Rigadintestazione"/>
      <w:jc w:val="center"/>
    </w:pPr>
  </w:p>
  <w:p w14:paraId="0D19CC3A" w14:textId="77777777" w:rsidR="000F5645" w:rsidRDefault="000F5645" w:rsidP="00A36A41">
    <w:pPr>
      <w:pStyle w:val="Rigad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25F84"/>
    <w:multiLevelType w:val="multilevel"/>
    <w:tmpl w:val="291C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130"/>
    <w:rsid w:val="00041E74"/>
    <w:rsid w:val="00056E35"/>
    <w:rsid w:val="00070D60"/>
    <w:rsid w:val="00082B52"/>
    <w:rsid w:val="000D0273"/>
    <w:rsid w:val="000E0DC3"/>
    <w:rsid w:val="000F28F9"/>
    <w:rsid w:val="000F5645"/>
    <w:rsid w:val="00143BEF"/>
    <w:rsid w:val="0015585B"/>
    <w:rsid w:val="00173021"/>
    <w:rsid w:val="00184F8B"/>
    <w:rsid w:val="00196BE4"/>
    <w:rsid w:val="001E465E"/>
    <w:rsid w:val="001F0EEE"/>
    <w:rsid w:val="002220D7"/>
    <w:rsid w:val="00231B7E"/>
    <w:rsid w:val="00245176"/>
    <w:rsid w:val="0024768F"/>
    <w:rsid w:val="00261EB9"/>
    <w:rsid w:val="0029267C"/>
    <w:rsid w:val="002B78FB"/>
    <w:rsid w:val="00301FC1"/>
    <w:rsid w:val="00313F67"/>
    <w:rsid w:val="003153C1"/>
    <w:rsid w:val="0036181D"/>
    <w:rsid w:val="00377479"/>
    <w:rsid w:val="00386861"/>
    <w:rsid w:val="0042093E"/>
    <w:rsid w:val="00437248"/>
    <w:rsid w:val="004E71A3"/>
    <w:rsid w:val="00507E47"/>
    <w:rsid w:val="00550999"/>
    <w:rsid w:val="005A6378"/>
    <w:rsid w:val="005D6585"/>
    <w:rsid w:val="00631807"/>
    <w:rsid w:val="00652F75"/>
    <w:rsid w:val="00655F7F"/>
    <w:rsid w:val="00663EDF"/>
    <w:rsid w:val="00670F7B"/>
    <w:rsid w:val="00682761"/>
    <w:rsid w:val="006D78C0"/>
    <w:rsid w:val="007267A1"/>
    <w:rsid w:val="007A6AAC"/>
    <w:rsid w:val="007B7464"/>
    <w:rsid w:val="007B7E28"/>
    <w:rsid w:val="007C5C3F"/>
    <w:rsid w:val="007E7E79"/>
    <w:rsid w:val="00801182"/>
    <w:rsid w:val="00837E54"/>
    <w:rsid w:val="008522F5"/>
    <w:rsid w:val="008659E1"/>
    <w:rsid w:val="00867255"/>
    <w:rsid w:val="00880640"/>
    <w:rsid w:val="00892171"/>
    <w:rsid w:val="00896691"/>
    <w:rsid w:val="008B5138"/>
    <w:rsid w:val="008B5581"/>
    <w:rsid w:val="008F7130"/>
    <w:rsid w:val="00905E99"/>
    <w:rsid w:val="00911AE8"/>
    <w:rsid w:val="0095311A"/>
    <w:rsid w:val="00954478"/>
    <w:rsid w:val="0095711F"/>
    <w:rsid w:val="009D22E0"/>
    <w:rsid w:val="009F148B"/>
    <w:rsid w:val="00A071AE"/>
    <w:rsid w:val="00A8575D"/>
    <w:rsid w:val="00AC3BDA"/>
    <w:rsid w:val="00B07559"/>
    <w:rsid w:val="00B14018"/>
    <w:rsid w:val="00B94659"/>
    <w:rsid w:val="00BA43C9"/>
    <w:rsid w:val="00BF7382"/>
    <w:rsid w:val="00C10959"/>
    <w:rsid w:val="00C24ACD"/>
    <w:rsid w:val="00C34929"/>
    <w:rsid w:val="00C34D26"/>
    <w:rsid w:val="00C62BE8"/>
    <w:rsid w:val="00C6509A"/>
    <w:rsid w:val="00CF3537"/>
    <w:rsid w:val="00CF5BD0"/>
    <w:rsid w:val="00D56EBA"/>
    <w:rsid w:val="00D76B55"/>
    <w:rsid w:val="00D96962"/>
    <w:rsid w:val="00DC1695"/>
    <w:rsid w:val="00DE6542"/>
    <w:rsid w:val="00E47C2B"/>
    <w:rsid w:val="00E634EB"/>
    <w:rsid w:val="00E90EFC"/>
    <w:rsid w:val="00EC454E"/>
    <w:rsid w:val="00EF4A54"/>
    <w:rsid w:val="00F41C9A"/>
    <w:rsid w:val="00F60467"/>
    <w:rsid w:val="00F65F20"/>
    <w:rsid w:val="00F81181"/>
    <w:rsid w:val="00FB1C69"/>
    <w:rsid w:val="00FD4FBE"/>
    <w:rsid w:val="00FE1EB3"/>
  </w:rsids>
  <m:mathPr>
    <m:mathFont m:val="Cambria Math"/>
    <m:brkBin m:val="before"/>
    <m:brkBinSub m:val="--"/>
    <m:smallFrac/>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6C7B8"/>
  <w15:docId w15:val="{B2802C9B-B41A-462F-B040-03879317A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F5645"/>
    <w:pPr>
      <w:suppressAutoHyphens/>
    </w:pPr>
    <w:rPr>
      <w:rFonts w:ascii="Times New Roman" w:eastAsia="Times New Roman" w:hAnsi="Times New Roman" w:cs="Times New Roman"/>
      <w:kern w:val="1"/>
      <w:sz w:val="24"/>
      <w:szCs w:val="24"/>
      <w:lang w:eastAsia="zh-CN"/>
    </w:rPr>
  </w:style>
  <w:style w:type="paragraph" w:styleId="Titolo1">
    <w:name w:val="heading 1"/>
    <w:basedOn w:val="Normale"/>
    <w:next w:val="Normale"/>
    <w:link w:val="Titolo1Carattere"/>
    <w:uiPriority w:val="9"/>
    <w:qFormat/>
    <w:rsid w:val="008F7130"/>
    <w:pPr>
      <w:keepNext/>
      <w:keepLines/>
      <w:suppressAutoHyphens w:val="0"/>
      <w:spacing w:before="360" w:after="80"/>
      <w:outlineLvl w:val="0"/>
    </w:pPr>
    <w:rPr>
      <w:rFonts w:asciiTheme="majorHAnsi" w:eastAsiaTheme="majorEastAsia" w:hAnsiTheme="majorHAnsi" w:cstheme="majorBidi"/>
      <w:color w:val="2F5496" w:themeColor="accent1" w:themeShade="BF"/>
      <w:kern w:val="0"/>
      <w:sz w:val="40"/>
      <w:szCs w:val="40"/>
      <w:lang w:eastAsia="en-US"/>
    </w:rPr>
  </w:style>
  <w:style w:type="paragraph" w:styleId="Titolo2">
    <w:name w:val="heading 2"/>
    <w:basedOn w:val="Normale"/>
    <w:next w:val="Normale"/>
    <w:link w:val="Titolo2Carattere"/>
    <w:uiPriority w:val="9"/>
    <w:semiHidden/>
    <w:unhideWhenUsed/>
    <w:qFormat/>
    <w:rsid w:val="008F7130"/>
    <w:pPr>
      <w:keepNext/>
      <w:keepLines/>
      <w:suppressAutoHyphens w:val="0"/>
      <w:spacing w:before="160" w:after="80"/>
      <w:outlineLvl w:val="1"/>
    </w:pPr>
    <w:rPr>
      <w:rFonts w:asciiTheme="majorHAnsi" w:eastAsiaTheme="majorEastAsia" w:hAnsiTheme="majorHAnsi" w:cstheme="majorBidi"/>
      <w:color w:val="2F5496" w:themeColor="accent1" w:themeShade="BF"/>
      <w:kern w:val="0"/>
      <w:sz w:val="32"/>
      <w:szCs w:val="32"/>
      <w:lang w:eastAsia="en-US"/>
    </w:rPr>
  </w:style>
  <w:style w:type="paragraph" w:styleId="Titolo3">
    <w:name w:val="heading 3"/>
    <w:basedOn w:val="Normale"/>
    <w:next w:val="Normale"/>
    <w:link w:val="Titolo3Carattere"/>
    <w:uiPriority w:val="9"/>
    <w:semiHidden/>
    <w:unhideWhenUsed/>
    <w:qFormat/>
    <w:rsid w:val="008F7130"/>
    <w:pPr>
      <w:keepNext/>
      <w:keepLines/>
      <w:suppressAutoHyphens w:val="0"/>
      <w:spacing w:before="160" w:after="80"/>
      <w:outlineLvl w:val="2"/>
    </w:pPr>
    <w:rPr>
      <w:rFonts w:asciiTheme="minorHAnsi" w:eastAsiaTheme="majorEastAsia" w:hAnsiTheme="minorHAnsi" w:cstheme="majorBidi"/>
      <w:color w:val="2F5496" w:themeColor="accent1" w:themeShade="BF"/>
      <w:kern w:val="0"/>
      <w:sz w:val="28"/>
      <w:szCs w:val="28"/>
      <w:lang w:eastAsia="en-US"/>
    </w:rPr>
  </w:style>
  <w:style w:type="paragraph" w:styleId="Titolo4">
    <w:name w:val="heading 4"/>
    <w:basedOn w:val="Normale"/>
    <w:next w:val="Normale"/>
    <w:link w:val="Titolo4Carattere"/>
    <w:uiPriority w:val="9"/>
    <w:semiHidden/>
    <w:unhideWhenUsed/>
    <w:qFormat/>
    <w:rsid w:val="008F7130"/>
    <w:pPr>
      <w:keepNext/>
      <w:keepLines/>
      <w:suppressAutoHyphens w:val="0"/>
      <w:spacing w:before="80" w:after="40"/>
      <w:outlineLvl w:val="3"/>
    </w:pPr>
    <w:rPr>
      <w:rFonts w:asciiTheme="minorHAnsi" w:eastAsiaTheme="majorEastAsia" w:hAnsiTheme="minorHAnsi" w:cstheme="majorBidi"/>
      <w:i/>
      <w:iCs/>
      <w:color w:val="2F5496" w:themeColor="accent1" w:themeShade="BF"/>
      <w:kern w:val="0"/>
      <w:sz w:val="22"/>
      <w:szCs w:val="22"/>
      <w:lang w:eastAsia="en-US"/>
    </w:rPr>
  </w:style>
  <w:style w:type="paragraph" w:styleId="Titolo5">
    <w:name w:val="heading 5"/>
    <w:basedOn w:val="Normale"/>
    <w:next w:val="Normale"/>
    <w:link w:val="Titolo5Carattere"/>
    <w:uiPriority w:val="9"/>
    <w:semiHidden/>
    <w:unhideWhenUsed/>
    <w:qFormat/>
    <w:rsid w:val="008F7130"/>
    <w:pPr>
      <w:keepNext/>
      <w:keepLines/>
      <w:suppressAutoHyphens w:val="0"/>
      <w:spacing w:before="80" w:after="40"/>
      <w:outlineLvl w:val="4"/>
    </w:pPr>
    <w:rPr>
      <w:rFonts w:asciiTheme="minorHAnsi" w:eastAsiaTheme="majorEastAsia" w:hAnsiTheme="minorHAnsi" w:cstheme="majorBidi"/>
      <w:color w:val="2F5496" w:themeColor="accent1" w:themeShade="BF"/>
      <w:kern w:val="0"/>
      <w:sz w:val="22"/>
      <w:szCs w:val="22"/>
      <w:lang w:eastAsia="en-US"/>
    </w:rPr>
  </w:style>
  <w:style w:type="paragraph" w:styleId="Titolo6">
    <w:name w:val="heading 6"/>
    <w:basedOn w:val="Normale"/>
    <w:next w:val="Normale"/>
    <w:link w:val="Titolo6Carattere"/>
    <w:uiPriority w:val="9"/>
    <w:semiHidden/>
    <w:unhideWhenUsed/>
    <w:qFormat/>
    <w:rsid w:val="008F7130"/>
    <w:pPr>
      <w:keepNext/>
      <w:keepLines/>
      <w:suppressAutoHyphens w:val="0"/>
      <w:spacing w:before="40"/>
      <w:outlineLvl w:val="5"/>
    </w:pPr>
    <w:rPr>
      <w:rFonts w:asciiTheme="minorHAnsi" w:eastAsiaTheme="majorEastAsia" w:hAnsiTheme="minorHAnsi" w:cstheme="majorBidi"/>
      <w:i/>
      <w:iCs/>
      <w:color w:val="595959" w:themeColor="text1" w:themeTint="A6"/>
      <w:kern w:val="0"/>
      <w:sz w:val="22"/>
      <w:szCs w:val="22"/>
      <w:lang w:eastAsia="en-US"/>
    </w:rPr>
  </w:style>
  <w:style w:type="paragraph" w:styleId="Titolo7">
    <w:name w:val="heading 7"/>
    <w:basedOn w:val="Normale"/>
    <w:next w:val="Normale"/>
    <w:link w:val="Titolo7Carattere"/>
    <w:uiPriority w:val="9"/>
    <w:semiHidden/>
    <w:unhideWhenUsed/>
    <w:qFormat/>
    <w:rsid w:val="008F7130"/>
    <w:pPr>
      <w:keepNext/>
      <w:keepLines/>
      <w:suppressAutoHyphens w:val="0"/>
      <w:spacing w:before="40"/>
      <w:outlineLvl w:val="6"/>
    </w:pPr>
    <w:rPr>
      <w:rFonts w:asciiTheme="minorHAnsi" w:eastAsiaTheme="majorEastAsia" w:hAnsiTheme="minorHAnsi" w:cstheme="majorBidi"/>
      <w:color w:val="595959" w:themeColor="text1" w:themeTint="A6"/>
      <w:kern w:val="0"/>
      <w:sz w:val="22"/>
      <w:szCs w:val="22"/>
      <w:lang w:eastAsia="en-US"/>
    </w:rPr>
  </w:style>
  <w:style w:type="paragraph" w:styleId="Titolo8">
    <w:name w:val="heading 8"/>
    <w:basedOn w:val="Normale"/>
    <w:next w:val="Normale"/>
    <w:link w:val="Titolo8Carattere"/>
    <w:uiPriority w:val="9"/>
    <w:semiHidden/>
    <w:unhideWhenUsed/>
    <w:qFormat/>
    <w:rsid w:val="008F7130"/>
    <w:pPr>
      <w:keepNext/>
      <w:keepLines/>
      <w:suppressAutoHyphens w:val="0"/>
      <w:outlineLvl w:val="7"/>
    </w:pPr>
    <w:rPr>
      <w:rFonts w:asciiTheme="minorHAnsi" w:eastAsiaTheme="majorEastAsia" w:hAnsiTheme="minorHAnsi" w:cstheme="majorBidi"/>
      <w:i/>
      <w:iCs/>
      <w:color w:val="272727" w:themeColor="text1" w:themeTint="D8"/>
      <w:kern w:val="0"/>
      <w:sz w:val="22"/>
      <w:szCs w:val="22"/>
      <w:lang w:eastAsia="en-US"/>
    </w:rPr>
  </w:style>
  <w:style w:type="paragraph" w:styleId="Titolo9">
    <w:name w:val="heading 9"/>
    <w:basedOn w:val="Normale"/>
    <w:next w:val="Normale"/>
    <w:link w:val="Titolo9Carattere"/>
    <w:uiPriority w:val="9"/>
    <w:semiHidden/>
    <w:unhideWhenUsed/>
    <w:qFormat/>
    <w:rsid w:val="008F7130"/>
    <w:pPr>
      <w:keepNext/>
      <w:keepLines/>
      <w:suppressAutoHyphens w:val="0"/>
      <w:outlineLvl w:val="8"/>
    </w:pPr>
    <w:rPr>
      <w:rFonts w:asciiTheme="minorHAnsi" w:eastAsiaTheme="majorEastAsia" w:hAnsiTheme="minorHAnsi" w:cstheme="majorBidi"/>
      <w:color w:val="272727" w:themeColor="text1" w:themeTint="D8"/>
      <w:kern w:val="0"/>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F713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F713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F713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F713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F713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F713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F713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F713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F713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F7130"/>
    <w:pPr>
      <w:suppressAutoHyphens w:val="0"/>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8F713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F7130"/>
    <w:pPr>
      <w:numPr>
        <w:ilvl w:val="1"/>
      </w:numPr>
      <w:suppressAutoHyphens w:val="0"/>
      <w:spacing w:after="160"/>
    </w:pPr>
    <w:rPr>
      <w:rFonts w:asciiTheme="minorHAnsi" w:eastAsiaTheme="majorEastAsia" w:hAnsiTheme="minorHAnsi" w:cstheme="majorBidi"/>
      <w:color w:val="595959" w:themeColor="text1" w:themeTint="A6"/>
      <w:spacing w:val="15"/>
      <w:kern w:val="0"/>
      <w:sz w:val="28"/>
      <w:szCs w:val="28"/>
      <w:lang w:eastAsia="en-US"/>
    </w:rPr>
  </w:style>
  <w:style w:type="character" w:customStyle="1" w:styleId="SottotitoloCarattere">
    <w:name w:val="Sottotitolo Carattere"/>
    <w:basedOn w:val="Carpredefinitoparagrafo"/>
    <w:link w:val="Sottotitolo"/>
    <w:uiPriority w:val="11"/>
    <w:rsid w:val="008F713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F7130"/>
    <w:pPr>
      <w:suppressAutoHyphens w:val="0"/>
      <w:spacing w:before="160" w:after="160"/>
      <w:jc w:val="center"/>
    </w:pPr>
    <w:rPr>
      <w:rFonts w:asciiTheme="minorHAnsi" w:eastAsiaTheme="minorHAnsi" w:hAnsiTheme="minorHAnsi" w:cstheme="minorBidi"/>
      <w:i/>
      <w:iCs/>
      <w:color w:val="404040" w:themeColor="text1" w:themeTint="BF"/>
      <w:kern w:val="0"/>
      <w:sz w:val="22"/>
      <w:szCs w:val="22"/>
      <w:lang w:eastAsia="en-US"/>
    </w:rPr>
  </w:style>
  <w:style w:type="character" w:customStyle="1" w:styleId="CitazioneCarattere">
    <w:name w:val="Citazione Carattere"/>
    <w:basedOn w:val="Carpredefinitoparagrafo"/>
    <w:link w:val="Citazione"/>
    <w:uiPriority w:val="29"/>
    <w:rsid w:val="008F7130"/>
    <w:rPr>
      <w:i/>
      <w:iCs/>
      <w:color w:val="404040" w:themeColor="text1" w:themeTint="BF"/>
    </w:rPr>
  </w:style>
  <w:style w:type="paragraph" w:styleId="Paragrafoelenco">
    <w:name w:val="List Paragraph"/>
    <w:basedOn w:val="Normale"/>
    <w:uiPriority w:val="34"/>
    <w:qFormat/>
    <w:rsid w:val="008F7130"/>
    <w:pPr>
      <w:suppressAutoHyphens w:val="0"/>
      <w:ind w:left="720"/>
      <w:contextualSpacing/>
    </w:pPr>
    <w:rPr>
      <w:rFonts w:asciiTheme="minorHAnsi" w:eastAsiaTheme="minorHAnsi" w:hAnsiTheme="minorHAnsi" w:cstheme="minorBidi"/>
      <w:kern w:val="0"/>
      <w:sz w:val="22"/>
      <w:szCs w:val="22"/>
      <w:lang w:eastAsia="en-US"/>
    </w:rPr>
  </w:style>
  <w:style w:type="character" w:styleId="Enfasiintensa">
    <w:name w:val="Intense Emphasis"/>
    <w:basedOn w:val="Carpredefinitoparagrafo"/>
    <w:uiPriority w:val="21"/>
    <w:qFormat/>
    <w:rsid w:val="008F7130"/>
    <w:rPr>
      <w:i/>
      <w:iCs/>
      <w:color w:val="2F5496" w:themeColor="accent1" w:themeShade="BF"/>
    </w:rPr>
  </w:style>
  <w:style w:type="paragraph" w:styleId="Citazioneintensa">
    <w:name w:val="Intense Quote"/>
    <w:basedOn w:val="Normale"/>
    <w:next w:val="Normale"/>
    <w:link w:val="CitazioneintensaCarattere"/>
    <w:uiPriority w:val="30"/>
    <w:qFormat/>
    <w:rsid w:val="008F7130"/>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asciiTheme="minorHAnsi" w:eastAsiaTheme="minorHAnsi" w:hAnsiTheme="minorHAnsi" w:cstheme="minorBidi"/>
      <w:i/>
      <w:iCs/>
      <w:color w:val="2F5496" w:themeColor="accent1" w:themeShade="BF"/>
      <w:kern w:val="0"/>
      <w:sz w:val="22"/>
      <w:szCs w:val="22"/>
      <w:lang w:eastAsia="en-US"/>
    </w:rPr>
  </w:style>
  <w:style w:type="character" w:customStyle="1" w:styleId="CitazioneintensaCarattere">
    <w:name w:val="Citazione intensa Carattere"/>
    <w:basedOn w:val="Carpredefinitoparagrafo"/>
    <w:link w:val="Citazioneintensa"/>
    <w:uiPriority w:val="30"/>
    <w:rsid w:val="008F7130"/>
    <w:rPr>
      <w:i/>
      <w:iCs/>
      <w:color w:val="2F5496" w:themeColor="accent1" w:themeShade="BF"/>
    </w:rPr>
  </w:style>
  <w:style w:type="character" w:styleId="Riferimentointenso">
    <w:name w:val="Intense Reference"/>
    <w:basedOn w:val="Carpredefinitoparagrafo"/>
    <w:uiPriority w:val="32"/>
    <w:qFormat/>
    <w:rsid w:val="008F7130"/>
    <w:rPr>
      <w:b/>
      <w:bCs/>
      <w:smallCaps/>
      <w:color w:val="2F5496" w:themeColor="accent1" w:themeShade="BF"/>
      <w:spacing w:val="5"/>
    </w:rPr>
  </w:style>
  <w:style w:type="character" w:styleId="Enfasigrassetto">
    <w:name w:val="Strong"/>
    <w:uiPriority w:val="22"/>
    <w:qFormat/>
    <w:rsid w:val="000F5645"/>
    <w:rPr>
      <w:b/>
      <w:bCs/>
    </w:rPr>
  </w:style>
  <w:style w:type="paragraph" w:styleId="NormaleWeb">
    <w:name w:val="Normal (Web)"/>
    <w:basedOn w:val="Normale"/>
    <w:uiPriority w:val="99"/>
    <w:rsid w:val="000F5645"/>
    <w:pPr>
      <w:suppressAutoHyphens w:val="0"/>
      <w:spacing w:before="280" w:after="280"/>
    </w:pPr>
  </w:style>
  <w:style w:type="paragraph" w:customStyle="1" w:styleId="Rigadintestazione">
    <w:name w:val="Riga d'intestazione"/>
    <w:basedOn w:val="Normale"/>
    <w:rsid w:val="000F5645"/>
    <w:pPr>
      <w:tabs>
        <w:tab w:val="center" w:pos="4819"/>
        <w:tab w:val="right" w:pos="9638"/>
      </w:tabs>
    </w:pPr>
  </w:style>
  <w:style w:type="paragraph" w:customStyle="1" w:styleId="Default">
    <w:name w:val="Default"/>
    <w:rsid w:val="000F5645"/>
    <w:pPr>
      <w:suppressAutoHyphens/>
      <w:autoSpaceDE w:val="0"/>
    </w:pPr>
    <w:rPr>
      <w:rFonts w:ascii="Calibri" w:eastAsia="Times New Roman" w:hAnsi="Calibri" w:cs="Calibri"/>
      <w:color w:val="000000"/>
      <w:kern w:val="1"/>
      <w:sz w:val="24"/>
      <w:szCs w:val="24"/>
      <w:lang w:eastAsia="zh-CN"/>
    </w:rPr>
  </w:style>
  <w:style w:type="paragraph" w:styleId="Intestazione">
    <w:name w:val="header"/>
    <w:basedOn w:val="Normale"/>
    <w:link w:val="IntestazioneCarattere"/>
    <w:uiPriority w:val="99"/>
    <w:unhideWhenUsed/>
    <w:rsid w:val="000F5645"/>
    <w:pPr>
      <w:tabs>
        <w:tab w:val="center" w:pos="4819"/>
        <w:tab w:val="right" w:pos="9638"/>
      </w:tabs>
    </w:pPr>
  </w:style>
  <w:style w:type="character" w:customStyle="1" w:styleId="IntestazioneCarattere">
    <w:name w:val="Intestazione Carattere"/>
    <w:basedOn w:val="Carpredefinitoparagrafo"/>
    <w:link w:val="Intestazione"/>
    <w:uiPriority w:val="99"/>
    <w:rsid w:val="000F5645"/>
    <w:rPr>
      <w:rFonts w:ascii="Times New Roman" w:eastAsia="Times New Roman" w:hAnsi="Times New Roman" w:cs="Times New Roman"/>
      <w:kern w:val="1"/>
      <w:sz w:val="24"/>
      <w:szCs w:val="24"/>
      <w:lang w:eastAsia="zh-CN"/>
    </w:rPr>
  </w:style>
  <w:style w:type="paragraph" w:styleId="Pidipagina">
    <w:name w:val="footer"/>
    <w:basedOn w:val="Normale"/>
    <w:link w:val="PidipaginaCarattere"/>
    <w:uiPriority w:val="99"/>
    <w:unhideWhenUsed/>
    <w:rsid w:val="000F5645"/>
    <w:pPr>
      <w:tabs>
        <w:tab w:val="center" w:pos="4819"/>
        <w:tab w:val="right" w:pos="9638"/>
      </w:tabs>
    </w:pPr>
  </w:style>
  <w:style w:type="character" w:customStyle="1" w:styleId="PidipaginaCarattere">
    <w:name w:val="Piè di pagina Carattere"/>
    <w:basedOn w:val="Carpredefinitoparagrafo"/>
    <w:link w:val="Pidipagina"/>
    <w:uiPriority w:val="99"/>
    <w:rsid w:val="000F5645"/>
    <w:rPr>
      <w:rFonts w:ascii="Times New Roman" w:eastAsia="Times New Roman" w:hAnsi="Times New Roman" w:cs="Times New Roman"/>
      <w:kern w:val="1"/>
      <w:sz w:val="24"/>
      <w:szCs w:val="24"/>
      <w:lang w:eastAsia="zh-CN"/>
    </w:rPr>
  </w:style>
  <w:style w:type="character" w:styleId="Enfasicorsivo">
    <w:name w:val="Emphasis"/>
    <w:basedOn w:val="Carpredefinitoparagrafo"/>
    <w:uiPriority w:val="20"/>
    <w:qFormat/>
    <w:rsid w:val="0042093E"/>
    <w:rPr>
      <w:i/>
      <w:iCs/>
    </w:rPr>
  </w:style>
  <w:style w:type="character" w:customStyle="1" w:styleId="whitespace-normal">
    <w:name w:val="whitespace-normal"/>
    <w:basedOn w:val="Carpredefinitoparagrafo"/>
    <w:rsid w:val="00911AE8"/>
  </w:style>
  <w:style w:type="paragraph" w:customStyle="1" w:styleId="paragraph">
    <w:name w:val="paragraph"/>
    <w:basedOn w:val="Normale"/>
    <w:rsid w:val="00892171"/>
    <w:pPr>
      <w:suppressAutoHyphens w:val="0"/>
      <w:spacing w:before="100" w:beforeAutospacing="1" w:after="100" w:afterAutospacing="1"/>
    </w:pPr>
    <w:rPr>
      <w:kern w:val="0"/>
      <w:lang w:eastAsia="it-IT"/>
    </w:rPr>
  </w:style>
  <w:style w:type="character" w:customStyle="1" w:styleId="normaltextrun">
    <w:name w:val="normaltextrun"/>
    <w:basedOn w:val="Carpredefinitoparagrafo"/>
    <w:rsid w:val="00892171"/>
  </w:style>
  <w:style w:type="character" w:customStyle="1" w:styleId="eop">
    <w:name w:val="eop"/>
    <w:basedOn w:val="Carpredefinitoparagrafo"/>
    <w:rsid w:val="00892171"/>
  </w:style>
  <w:style w:type="character" w:customStyle="1" w:styleId="scxw30193932">
    <w:name w:val="scxw30193932"/>
    <w:basedOn w:val="Carpredefinitoparagrafo"/>
    <w:rsid w:val="00892171"/>
  </w:style>
  <w:style w:type="paragraph" w:customStyle="1" w:styleId="x12ofw9d">
    <w:name w:val="x12ofw9d"/>
    <w:basedOn w:val="Normale"/>
    <w:rsid w:val="0029267C"/>
    <w:pPr>
      <w:suppressAutoHyphens w:val="0"/>
      <w:spacing w:before="100" w:beforeAutospacing="1" w:after="100" w:afterAutospacing="1"/>
    </w:pPr>
    <w:rPr>
      <w:kern w:val="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50577">
      <w:bodyDiv w:val="1"/>
      <w:marLeft w:val="0"/>
      <w:marRight w:val="0"/>
      <w:marTop w:val="0"/>
      <w:marBottom w:val="0"/>
      <w:divBdr>
        <w:top w:val="none" w:sz="0" w:space="0" w:color="auto"/>
        <w:left w:val="none" w:sz="0" w:space="0" w:color="auto"/>
        <w:bottom w:val="none" w:sz="0" w:space="0" w:color="auto"/>
        <w:right w:val="none" w:sz="0" w:space="0" w:color="auto"/>
      </w:divBdr>
    </w:div>
    <w:div w:id="1078212220">
      <w:bodyDiv w:val="1"/>
      <w:marLeft w:val="0"/>
      <w:marRight w:val="0"/>
      <w:marTop w:val="0"/>
      <w:marBottom w:val="0"/>
      <w:divBdr>
        <w:top w:val="none" w:sz="0" w:space="0" w:color="auto"/>
        <w:left w:val="none" w:sz="0" w:space="0" w:color="auto"/>
        <w:bottom w:val="none" w:sz="0" w:space="0" w:color="auto"/>
        <w:right w:val="none" w:sz="0" w:space="0" w:color="auto"/>
      </w:divBdr>
      <w:divsChild>
        <w:div w:id="496531231">
          <w:marLeft w:val="0"/>
          <w:marRight w:val="0"/>
          <w:marTop w:val="0"/>
          <w:marBottom w:val="0"/>
          <w:divBdr>
            <w:top w:val="none" w:sz="0" w:space="0" w:color="auto"/>
            <w:left w:val="none" w:sz="0" w:space="0" w:color="auto"/>
            <w:bottom w:val="none" w:sz="0" w:space="0" w:color="auto"/>
            <w:right w:val="none" w:sz="0" w:space="0" w:color="auto"/>
          </w:divBdr>
        </w:div>
        <w:div w:id="241065387">
          <w:marLeft w:val="0"/>
          <w:marRight w:val="0"/>
          <w:marTop w:val="0"/>
          <w:marBottom w:val="0"/>
          <w:divBdr>
            <w:top w:val="none" w:sz="0" w:space="0" w:color="auto"/>
            <w:left w:val="none" w:sz="0" w:space="0" w:color="auto"/>
            <w:bottom w:val="none" w:sz="0" w:space="0" w:color="auto"/>
            <w:right w:val="none" w:sz="0" w:space="0" w:color="auto"/>
          </w:divBdr>
        </w:div>
        <w:div w:id="277487162">
          <w:marLeft w:val="0"/>
          <w:marRight w:val="0"/>
          <w:marTop w:val="0"/>
          <w:marBottom w:val="0"/>
          <w:divBdr>
            <w:top w:val="none" w:sz="0" w:space="0" w:color="auto"/>
            <w:left w:val="none" w:sz="0" w:space="0" w:color="auto"/>
            <w:bottom w:val="none" w:sz="0" w:space="0" w:color="auto"/>
            <w:right w:val="none" w:sz="0" w:space="0" w:color="auto"/>
          </w:divBdr>
        </w:div>
        <w:div w:id="525411808">
          <w:marLeft w:val="0"/>
          <w:marRight w:val="0"/>
          <w:marTop w:val="0"/>
          <w:marBottom w:val="0"/>
          <w:divBdr>
            <w:top w:val="none" w:sz="0" w:space="0" w:color="auto"/>
            <w:left w:val="none" w:sz="0" w:space="0" w:color="auto"/>
            <w:bottom w:val="none" w:sz="0" w:space="0" w:color="auto"/>
            <w:right w:val="none" w:sz="0" w:space="0" w:color="auto"/>
          </w:divBdr>
        </w:div>
        <w:div w:id="681396276">
          <w:marLeft w:val="0"/>
          <w:marRight w:val="0"/>
          <w:marTop w:val="0"/>
          <w:marBottom w:val="0"/>
          <w:divBdr>
            <w:top w:val="none" w:sz="0" w:space="0" w:color="auto"/>
            <w:left w:val="none" w:sz="0" w:space="0" w:color="auto"/>
            <w:bottom w:val="none" w:sz="0" w:space="0" w:color="auto"/>
            <w:right w:val="none" w:sz="0" w:space="0" w:color="auto"/>
          </w:divBdr>
        </w:div>
        <w:div w:id="319038358">
          <w:marLeft w:val="0"/>
          <w:marRight w:val="0"/>
          <w:marTop w:val="0"/>
          <w:marBottom w:val="0"/>
          <w:divBdr>
            <w:top w:val="none" w:sz="0" w:space="0" w:color="auto"/>
            <w:left w:val="none" w:sz="0" w:space="0" w:color="auto"/>
            <w:bottom w:val="none" w:sz="0" w:space="0" w:color="auto"/>
            <w:right w:val="none" w:sz="0" w:space="0" w:color="auto"/>
          </w:divBdr>
        </w:div>
        <w:div w:id="1320385277">
          <w:marLeft w:val="0"/>
          <w:marRight w:val="0"/>
          <w:marTop w:val="0"/>
          <w:marBottom w:val="0"/>
          <w:divBdr>
            <w:top w:val="none" w:sz="0" w:space="0" w:color="auto"/>
            <w:left w:val="none" w:sz="0" w:space="0" w:color="auto"/>
            <w:bottom w:val="none" w:sz="0" w:space="0" w:color="auto"/>
            <w:right w:val="none" w:sz="0" w:space="0" w:color="auto"/>
          </w:divBdr>
        </w:div>
        <w:div w:id="1470512465">
          <w:marLeft w:val="0"/>
          <w:marRight w:val="0"/>
          <w:marTop w:val="0"/>
          <w:marBottom w:val="0"/>
          <w:divBdr>
            <w:top w:val="none" w:sz="0" w:space="0" w:color="auto"/>
            <w:left w:val="none" w:sz="0" w:space="0" w:color="auto"/>
            <w:bottom w:val="none" w:sz="0" w:space="0" w:color="auto"/>
            <w:right w:val="none" w:sz="0" w:space="0" w:color="auto"/>
          </w:divBdr>
        </w:div>
        <w:div w:id="2031907295">
          <w:marLeft w:val="0"/>
          <w:marRight w:val="0"/>
          <w:marTop w:val="0"/>
          <w:marBottom w:val="0"/>
          <w:divBdr>
            <w:top w:val="none" w:sz="0" w:space="0" w:color="auto"/>
            <w:left w:val="none" w:sz="0" w:space="0" w:color="auto"/>
            <w:bottom w:val="none" w:sz="0" w:space="0" w:color="auto"/>
            <w:right w:val="none" w:sz="0" w:space="0" w:color="auto"/>
          </w:divBdr>
        </w:div>
        <w:div w:id="610237096">
          <w:marLeft w:val="0"/>
          <w:marRight w:val="0"/>
          <w:marTop w:val="0"/>
          <w:marBottom w:val="0"/>
          <w:divBdr>
            <w:top w:val="none" w:sz="0" w:space="0" w:color="auto"/>
            <w:left w:val="none" w:sz="0" w:space="0" w:color="auto"/>
            <w:bottom w:val="none" w:sz="0" w:space="0" w:color="auto"/>
            <w:right w:val="none" w:sz="0" w:space="0" w:color="auto"/>
          </w:divBdr>
        </w:div>
        <w:div w:id="951596391">
          <w:marLeft w:val="0"/>
          <w:marRight w:val="0"/>
          <w:marTop w:val="0"/>
          <w:marBottom w:val="0"/>
          <w:divBdr>
            <w:top w:val="none" w:sz="0" w:space="0" w:color="auto"/>
            <w:left w:val="none" w:sz="0" w:space="0" w:color="auto"/>
            <w:bottom w:val="none" w:sz="0" w:space="0" w:color="auto"/>
            <w:right w:val="none" w:sz="0" w:space="0" w:color="auto"/>
          </w:divBdr>
        </w:div>
        <w:div w:id="1503666350">
          <w:marLeft w:val="0"/>
          <w:marRight w:val="0"/>
          <w:marTop w:val="0"/>
          <w:marBottom w:val="0"/>
          <w:divBdr>
            <w:top w:val="none" w:sz="0" w:space="0" w:color="auto"/>
            <w:left w:val="none" w:sz="0" w:space="0" w:color="auto"/>
            <w:bottom w:val="none" w:sz="0" w:space="0" w:color="auto"/>
            <w:right w:val="none" w:sz="0" w:space="0" w:color="auto"/>
          </w:divBdr>
        </w:div>
        <w:div w:id="1170560353">
          <w:marLeft w:val="0"/>
          <w:marRight w:val="0"/>
          <w:marTop w:val="0"/>
          <w:marBottom w:val="0"/>
          <w:divBdr>
            <w:top w:val="none" w:sz="0" w:space="0" w:color="auto"/>
            <w:left w:val="none" w:sz="0" w:space="0" w:color="auto"/>
            <w:bottom w:val="none" w:sz="0" w:space="0" w:color="auto"/>
            <w:right w:val="none" w:sz="0" w:space="0" w:color="auto"/>
          </w:divBdr>
        </w:div>
        <w:div w:id="2038459109">
          <w:marLeft w:val="0"/>
          <w:marRight w:val="0"/>
          <w:marTop w:val="0"/>
          <w:marBottom w:val="0"/>
          <w:divBdr>
            <w:top w:val="none" w:sz="0" w:space="0" w:color="auto"/>
            <w:left w:val="none" w:sz="0" w:space="0" w:color="auto"/>
            <w:bottom w:val="none" w:sz="0" w:space="0" w:color="auto"/>
            <w:right w:val="none" w:sz="0" w:space="0" w:color="auto"/>
          </w:divBdr>
        </w:div>
        <w:div w:id="214707999">
          <w:marLeft w:val="0"/>
          <w:marRight w:val="0"/>
          <w:marTop w:val="0"/>
          <w:marBottom w:val="0"/>
          <w:divBdr>
            <w:top w:val="none" w:sz="0" w:space="0" w:color="auto"/>
            <w:left w:val="none" w:sz="0" w:space="0" w:color="auto"/>
            <w:bottom w:val="none" w:sz="0" w:space="0" w:color="auto"/>
            <w:right w:val="none" w:sz="0" w:space="0" w:color="auto"/>
          </w:divBdr>
        </w:div>
        <w:div w:id="1346202900">
          <w:marLeft w:val="0"/>
          <w:marRight w:val="0"/>
          <w:marTop w:val="0"/>
          <w:marBottom w:val="0"/>
          <w:divBdr>
            <w:top w:val="none" w:sz="0" w:space="0" w:color="auto"/>
            <w:left w:val="none" w:sz="0" w:space="0" w:color="auto"/>
            <w:bottom w:val="none" w:sz="0" w:space="0" w:color="auto"/>
            <w:right w:val="none" w:sz="0" w:space="0" w:color="auto"/>
          </w:divBdr>
        </w:div>
        <w:div w:id="1184244143">
          <w:marLeft w:val="0"/>
          <w:marRight w:val="0"/>
          <w:marTop w:val="0"/>
          <w:marBottom w:val="0"/>
          <w:divBdr>
            <w:top w:val="none" w:sz="0" w:space="0" w:color="auto"/>
            <w:left w:val="none" w:sz="0" w:space="0" w:color="auto"/>
            <w:bottom w:val="none" w:sz="0" w:space="0" w:color="auto"/>
            <w:right w:val="none" w:sz="0" w:space="0" w:color="auto"/>
          </w:divBdr>
        </w:div>
      </w:divsChild>
    </w:div>
    <w:div w:id="1186285553">
      <w:bodyDiv w:val="1"/>
      <w:marLeft w:val="0"/>
      <w:marRight w:val="0"/>
      <w:marTop w:val="0"/>
      <w:marBottom w:val="0"/>
      <w:divBdr>
        <w:top w:val="none" w:sz="0" w:space="0" w:color="auto"/>
        <w:left w:val="none" w:sz="0" w:space="0" w:color="auto"/>
        <w:bottom w:val="none" w:sz="0" w:space="0" w:color="auto"/>
        <w:right w:val="none" w:sz="0" w:space="0" w:color="auto"/>
      </w:divBdr>
    </w:div>
    <w:div w:id="209860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578</Words>
  <Characters>3300</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PAGLIARI PAOLA</dc:creator>
  <cp:lastModifiedBy>Alberto Samonà</cp:lastModifiedBy>
  <cp:revision>32</cp:revision>
  <dcterms:created xsi:type="dcterms:W3CDTF">2026-06-21T12:38:00Z</dcterms:created>
  <dcterms:modified xsi:type="dcterms:W3CDTF">2026-10-19T08:13:00Z</dcterms:modified>
</cp:coreProperties>
</file>